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150 SeeArbG — Zurverfügungstellen von Gesetzen und Rechtsverordnungen, Einstellen von Kopien und Unterlagen in ein elektronisches Informationssystem</w:t>
      </w:r>
    </w:p>
    <w:p>
      <w:r>
        <w:rPr>
          <w:color w:val="555555"/>
          <w:sz w:val="18"/>
        </w:rPr>
        <w:t xml:space="preserve">Seearbeitsgesetz</w:t>
      </w:r>
    </w:p>
    <w:p>
      <w:r>
        <w:rPr>
          <w:color w:val="555555"/>
          <w:sz w:val="18"/>
        </w:rPr>
        <w:t xml:space="preserve">Stand: 10.06.2019 (konsolidierte Textfassung, kein amtliches Inkrafttretensdatum)</w:t>
      </w:r>
    </w:p>
    <w:p>
      <w:r>
        <w:t xml:space="preserve">(1) Die nach den Vorschriften der §§ 20, 55, 92, 96, 113 und 136 dieses Gesetzes erlassenen Rechtsverordnungen und das Gesetz über Ordnungswidrigkeiten muss der Reeder an Bord den Besatzungsmitgliedern zur Verfügung stellen. Das Zurverfügungstellen erfolgt durch Aushang oder Auslegung an geeigneter Stelle oder durch Einstellung in ein elektronisches Informationssystem, das für die Besatzungsmitglieder zugänglich ist.</w:t>
      </w:r>
    </w:p>
    <w:p>
      <w:r>
        <w:t xml:space="preserve">(2) Die nach § 29 Absatz 1 Satz 2, Absatz 2 und 3, § 76a Absatz 4 Satz 3, § 78 sowie § 106a Absatz 3 Satz 3 und § 130 Absatz 7 bestehenden Verpflichtungen erfüllt der Reeder auch, wenn er die aufgeführten Kopien und Unterlagen in ein elektronisches Informationssystem im Sinne des Absatzes 1 einstellt.</w:t>
      </w:r>
    </w:p>
    <w:p>
      <w:r>
        <w:rPr>
          <w:color w:val="555555"/>
          <w:sz w:val="17"/>
        </w:rPr>
        <w:t xml:space="preserve">Zitiervorschlag: § 150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https://recht.nulegal.eu/gesetze/SeeArbG/150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