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SeeArbG — Gebühren</w:t>
      </w:r>
    </w:p>
    <w:p>
      <w:r>
        <w:rPr>
          <w:color w:val="555555"/>
          <w:sz w:val="18"/>
        </w:rPr>
        <w:t xml:space="preserve">Seearbeitsgesetz</w:t>
      </w:r>
    </w:p>
    <w:p>
      <w:r>
        <w:rPr>
          <w:color w:val="555555"/>
          <w:sz w:val="18"/>
        </w:rPr>
        <w:t xml:space="preserve">Stand: 21.03.2023 (konsolidierte Textfassung, kein amtliches Inkrafttretensdatum)</w:t>
      </w:r>
    </w:p>
    <w:p>
      <w:r>
        <w:t xml:space="preserve">(1) Für Amtshandlungen, einschließlich Abnahmen, Prüfungen, Überprüfungen, Untersuchungen, Begutachtungen und Auditierungen (Amtshandlungen) nach diesem Gesetz oder nach Rechtsverordnungen auf Grund dieses Gesetzes erhebt die Berufsgenossenschaft Gebühren und Auslagen.</w:t>
      </w:r>
    </w:p>
    <w:p>
      <w:r>
        <w:t xml:space="preserve">(2) Das Bundesministerium für Digitales und Verkehr wird ermächtigt, im Einvernehmen mit dem Bundesministerium für Arbeit und Soziales durch Rechtsverordnung ohne Zustimmung des Bundesrates die Gebühren für die einzelnen Amtshandlungen im Sinne des Absatzes 1 zu bestimmen und dabei feste Sätze oder Rahmensätze vorzusehen. Die Gebührensätze sind so zu bemessen, dass der mit den Amtshandlungen verbundene Personal- und Sachaufwand gedeckt wird; bei begünstigenden Amtshandlungen kann daneben die Bedeutung, der wirtschaftliche Wert oder der sonstige Nutzen für den Gebührenschuldner angemessen berücksichtigt werden. In Rechtsverordnungen nach Satz 1 können Gebühren nach festen Sätzen im Sinne des § 4 des Verwaltungskostengesetzes auch als nach feststehenden Stundensätzen vorgesehene Gebühren (Zeitgebühren) festgelegt werden.</w:t>
      </w:r>
    </w:p>
    <w:p>
      <w:r>
        <w:t xml:space="preserve">(3) Für Amtshandlungen im Sinne des Absatzes 1 gegenüber der Deutschen Gesellschaft zur Rettung Schiffbrüchiger werden Gebühren und Auslagen nicht erhoben.</w:t>
      </w:r>
    </w:p>
    <w:p>
      <w:r>
        <w:rPr>
          <w:color w:val="555555"/>
          <w:sz w:val="17"/>
        </w:rPr>
        <w:t xml:space="preserve">Zitiervorschlag: § 149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