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SeeArbG — Rechtsmittel</w:t>
      </w:r>
    </w:p>
    <w:p>
      <w:r>
        <w:rPr>
          <w:color w:val="555555"/>
          <w:sz w:val="18"/>
        </w:rPr>
        <w:t xml:space="preserve">Seearbeitsgesetz</w:t>
      </w:r>
    </w:p>
    <w:p>
      <w:r>
        <w:rPr>
          <w:color w:val="555555"/>
          <w:sz w:val="18"/>
        </w:rPr>
        <w:t xml:space="preserve">Stand: 10.06.2019 (konsolidierte Textfassung, kein amtliches Inkrafttretensdatum)</w:t>
      </w:r>
    </w:p>
    <w:p>
      <w:r>
        <w:t xml:space="preserve">(1) Die Frist für den Einspruch gegen den Bußgeldbescheid gilt als gewahrt, wenn das betroffene Besatzungsmitglied den Einspruch innerhalb der Frist bei dem Kapitän schriftlich oder zur Niederschrift einlegt. Der Kapitän hat den Zeitpunkt der Einlegung unverzüglich in das Seetagebuch einzutragen und dem betroffenen Besatzungsmitglied darüber eine Bescheinigung auszustellen. Legt der Kapitän selbst den Einspruch ein, so obliegen seinem Stellvertreter (§ 5 Absatz 3) die Aufgaben nach den Sätzen 1 und 2. Die Niederschrift oder der schriftliche Einspruch ist unverzüglich der Behörde, die den Bußgeldbescheid erlassen hat, zu übersenden.</w:t>
      </w:r>
    </w:p>
    <w:p>
      <w:r>
        <w:t xml:space="preserve">(2) Für die Einlegung der Rechtsbeschwerde gilt Absatz 1 entsprechend.</w:t>
      </w:r>
    </w:p>
    <w:p>
      <w:r>
        <w:rPr>
          <w:color w:val="555555"/>
          <w:sz w:val="17"/>
        </w:rPr>
        <w:t xml:space="preserve">Zitiervorschlag: § 147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