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SeeArbG — Fachaufsicht über die Berufsgenossenschaft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Bei der Durchführung der Aufgaben nach den Abschnitten 1, 2 Unterabschnitt 1 und 4, den Abschnitten 3, 5 Unterabschnitt 1, Abschnitt 6 Unterabschnitt 1, 2, 4 und 5,mit Ausnahme des § 119 Absatz 5, und den Abschnitten 7, 11 und 12 unterliegt die Berufsgenossenschaft der Fachaufsicht des Bundesministeriums für Arbeit und Soziales.</w:t>
      </w:r>
    </w:p>
    <w:p>
      <w:r>
        <w:t xml:space="preserve">(2) Bei der Durchführung der Aufgaben nach Abschnitt 2 Unterabschnitt 2 und 3, den Abschnitten 4, 5 Unterabschnitt 2, Abschnitt 6 Unterabschnitt 3, § 119 Absatz 5 und den Abschnitten 8, 9 und 10 unterliegt die Berufsgenossenschaft der Fachaufsicht des Bundesministeriums für Digitales und Verkehr.</w:t>
      </w:r>
    </w:p>
    <w:p>
      <w:r>
        <w:rPr>
          <w:color w:val="555555"/>
          <w:sz w:val="17"/>
        </w:rPr>
        <w:t xml:space="preserve">Zitiervorschlag: § 144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