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142 SeeArbG — Zuständigkeiten</w:t>
      </w:r>
    </w:p>
    <w:p>
      <w:r>
        <w:rPr>
          <w:color w:val="555555"/>
          <w:sz w:val="18"/>
        </w:rPr>
        <w:t xml:space="preserve">Seearbeitsgesetz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Neben den Zuständigkeiten nach den §§ 129 und 138 obliegt der Berufsgenossenschaft die Überwachung der Sozialeinrichtungen.</w:t>
      </w:r>
    </w:p>
    <w:p>
      <w:r>
        <w:t xml:space="preserve">(2) Die Zuständigkeiten anderer Stellen hinsichtlich der Berufsausbildung an Bord sowie der Ausstellung von Befähigungszeugnissen und -nachweisen bleiben unberührt.</w:t>
      </w:r>
    </w:p>
    <w:p>
      <w:r>
        <w:rPr>
          <w:color w:val="555555"/>
          <w:sz w:val="17"/>
        </w:rPr>
        <w:t xml:space="preserve">Zitiervorschlag: § 142 SeeArbG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https://recht.nulegal.eu/gesetze/SeeArbG/142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