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SeeArbG — Heimschaffung von Besatzungsmitgliedern auf Schiffen unter ausländischer Flagge</w:t>
      </w:r>
    </w:p>
    <w:p>
      <w:r>
        <w:rPr>
          <w:color w:val="555555"/>
          <w:sz w:val="18"/>
        </w:rPr>
        <w:t xml:space="preserve">Seearbeitsgesetz</w:t>
      </w:r>
    </w:p>
    <w:p>
      <w:r>
        <w:rPr>
          <w:color w:val="555555"/>
          <w:sz w:val="18"/>
        </w:rPr>
        <w:t xml:space="preserve">Stand: 10.06.2019 (konsolidierte Textfassung, kein amtliches Inkrafttretensdatum)</w:t>
      </w:r>
    </w:p>
    <w:p>
      <w:r>
        <w:t xml:space="preserve">Verzögert sich die Heimschaffung eines Besatzungsmitglieds auf einem Schiff unter ausländischer Flagge, das im Inland zurückgelassen worden ist, unterrichtet die Berufsgenossenschaft unverzüglich den konsularischen Vertreter des Flaggenstaates und des Staatsangehörigkeitsstaates oder des Aufenthaltsstaates des Besatzungsmitglieds. Sorgt die Berufsgenossenschaft für die Heimschaffung, hat sie die verauslagten Kosten beim Flaggenstaat einzufordern. Statt den Anspruch nach Satz 2 geltend zu machen, kann sie nach Maßgabe des Internationalen Übereinkommens vom 10. Mai 1952 zur Vereinheitlichung von Regeln über den Arrest in Seeschiffe (BGBl. 1972 II S. 655) Schiffe des Reeders festhalten, bis die verauslagten Kosten durch den Reeder erstattet worden sind.</w:t>
      </w:r>
    </w:p>
    <w:p>
      <w:r>
        <w:rPr>
          <w:color w:val="555555"/>
          <w:sz w:val="17"/>
        </w:rPr>
        <w:t xml:space="preserve">Zitiervorschlag: § 140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