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SeeArbG — Überprüfung von Schiffen unter ausländischer Flagge</w:t>
      </w:r>
    </w:p>
    <w:p>
      <w:r>
        <w:rPr>
          <w:color w:val="555555"/>
          <w:sz w:val="18"/>
        </w:rPr>
        <w:t xml:space="preserve">Seearbeitsgesetz</w:t>
      </w:r>
    </w:p>
    <w:p>
      <w:r>
        <w:rPr>
          <w:color w:val="555555"/>
          <w:sz w:val="18"/>
        </w:rPr>
        <w:t xml:space="preserve">Stand: 10.06.2019 (konsolidierte Textfassung, kein amtliches Inkrafttretensdatum)</w:t>
      </w:r>
    </w:p>
    <w:p>
      <w:r>
        <w:t xml:space="preserve">(1) Die Überprüfung der Einhaltung der in § 137 Absatz 1 bezeichneten Anforderungen auf Schiffen unter ausländischer Flagge (Hafenstaatkontrolle im Sinne der Richtlinie 2009/16/EG des Europäischen Parlaments und des Rates vom 23. April 2009 über die Hafenstaatkontrolle (ABl. L 131 vom 28.5.2009, S. 57), die durch die Richtlinie 2013/38/EU (ABl. L 218 vom 14.8.2013, S. 1) geändert worden ist) ist Aufgabe der Berufsgenossenschaft.</w:t>
      </w:r>
    </w:p>
    <w:p>
      <w:r>
        <w:t xml:space="preserve">(2) Die Häufigkeit und die Auswahl eines zu überprüfenden Schiffes richten sich nach dessen Risikoprofil, das nach den Artikeln 10 bis 14 in Verbindung mit den Anhängen I und II der Richtlinie 2009/16/EG zu ermitteln ist.</w:t>
      </w:r>
    </w:p>
    <w:p>
      <w:r>
        <w:t xml:space="preserve">(3) Die Berufsgenossenschaft und die bei ihr beschäftigten Personen überprüfen die Einhaltung der in § 137 Absatz 1 bezeichneten Anforderungen zunächst durch Prüfung des vom Kapitän vorzulegenden Seearbeitszeugnisses und der Seearbeits-Konformitätserklärung. Stellt die Berufsgenossenschaft oder die von ihr beauftragte Person fest, dass</w:t>
      </w:r>
    </w:p>
    <w:p>
      <w:pPr>
        <w:ind w:left="420"/>
      </w:pPr>
      <w:r>
        <w:t xml:space="preserve">1. ein Schiff unter ausländischer Flagge kein Seearbeitszeugnis und keine Seearbeits-Konformitätserklärung hat oder eine oder beide Urkunden ungültig oder gefälscht sind,</w:t>
      </w:r>
    </w:p>
    <w:p>
      <w:pPr>
        <w:ind w:left="420"/>
      </w:pPr>
      <w:r>
        <w:t xml:space="preserve">2. es Grund für die Annahme gibt, dass die Arbeits- und Lebensbedingungen auf dem Schiff nicht den Anforderungen des § 137 Absatz 1 genügen,</w:t>
      </w:r>
    </w:p>
    <w:p>
      <w:pPr>
        <w:ind w:left="420"/>
      </w:pPr>
      <w:r>
        <w:t xml:space="preserve">3. es Grund für die Annahme gibt, dass das Schiff die Flagge gewechselt hat, um die Einhaltung der Anforderungen des § 137 Absatz 1 zu umgehen, oder</w:t>
      </w:r>
    </w:p>
    <w:p>
      <w:pPr>
        <w:ind w:left="420"/>
      </w:pPr>
      <w:r>
        <w:t xml:space="preserve">4. eine Beschwerde nach § 139 vorliegt, wonach spezifische Arbeits- und Lebensbedingungen auf dem Schiff den Anforderungen des Seearbeitsübereinkommens nicht genügen,</w:t>
      </w:r>
    </w:p>
    <w:p>
      <w:r>
        <w:t xml:space="preserve">kann sie eine über die Prüfung des Seearbeitszeugnisses hinausgehende gründlichere Überprüfung durchführen, um Aufschluss über die Arbeits- und Lebensbedingungen an Bord des Schiffes zu erhalten. Eine solche Überprüfung ist insbesondere dann durchzuführen, wenn die begründete Annahme oder Behauptung mangelhafter Arbeits- und Lebensbedingungen eine Gefahr für die Sicherheit des Schiffes oder der Besatzung oder für die Gesundheit oder den Schutz der Besatzungsmitglieder darstellen könnte oder wenn Grund zu der Annahme besteht, dass der Verstoß eine schwerwiegende Verletzung der in § 137 Absatz 1 bezeichneten Anforderungen darstellt.</w:t>
      </w:r>
    </w:p>
    <w:p>
      <w:r>
        <w:t xml:space="preserve">(4) Stellt die Berufsgenossenschaft bei einer Überprüfung einen Verstoß hinsichtlich des Einhaltens der in § 137 Absatz 1 bezeichneten Anforderungen fest, hat sie hierüber unverzüglich den Kapitän zu unterrichten. Sie kann die Beseitigung des Verstoßes verlangen und dafür eine angemessene Frist setzen.</w:t>
      </w:r>
    </w:p>
    <w:p>
      <w:r>
        <w:t xml:space="preserve">(5) Hält die Berufsgenossenschaft einen Verstoß für schwerwiegend oder beruht dieser auf einer Beschwerde, hat sie über Absatz 4 hinaus die Verbände der Reeder und der Seeleute des Hafenstaates zu unterrichten. Sie kann einen Vertreter des Flaggenstaates benachrichtigen und die zuständigen Stellen des nächsten Anlaufhafens entsprechend unterrichten.</w:t>
      </w:r>
    </w:p>
    <w:p>
      <w:r>
        <w:t xml:space="preserve">(6) Soweit eine Anordnung nach § 143 Absatz 3 ergeht, hat die Berufsgenossenschaft einen Vertreter des Flaggenstaates und die für den Hafen zuständigen Verbände der Reeder und der Seeleute unverzüglich zu unterrichten.</w:t>
      </w:r>
    </w:p>
    <w:p>
      <w:r>
        <w:t xml:space="preserve">(7) Für die Durchführung der Überprüfung gilt im Übrigen § 143.</w:t>
      </w:r>
    </w:p>
    <w:p>
      <w:r>
        <w:rPr>
          <w:color w:val="555555"/>
          <w:sz w:val="17"/>
        </w:rPr>
        <w:t xml:space="preserve">Zitiervorschlag: § 138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