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137 SeeArbG — Anforderungen an Reeder eines Schiffes unter ausländischer Flagge</w:t>
      </w:r>
    </w:p>
    <w:p>
      <w:r>
        <w:rPr>
          <w:color w:val="555555"/>
          <w:sz w:val="18"/>
        </w:rPr>
        <w:t xml:space="preserve">Seearbeitsgesetz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Reeder und Kapitän eines Schiffes unter ausländischer Flagge haben jeweils sicherzustellen, dass die Arbeits- und Lebensbedingungen der Besatzungsmitglieder an Bord den Anforderungen der Artikel und der Regeln in Verbindung mit Teil A des Codes des Seearbeitsübereinkommens genügen.</w:t>
      </w:r>
    </w:p>
    <w:p>
      <w:r>
        <w:t xml:space="preserve">(2) Können für ein Schiff unter ausländischer Flagge ein gültiges Seearbeitszeugnis und eine gültige Seearbeits-Konformitätserklärung nach § 132 vorgelegt werden, gelten die in Absatz 1 bezeichneten Anforderungen als erfüllt, soweit im Einzelfall kein Grund zu der Annahme besteht, dass das Schiff den Anforderungen nicht genügt.</w:t>
      </w:r>
    </w:p>
    <w:p>
      <w:r>
        <w:rPr>
          <w:color w:val="555555"/>
          <w:sz w:val="17"/>
        </w:rPr>
        <w:t xml:space="preserve">Zitiervorschlag: § 137 SeeArbG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https://recht.nulegal.eu/gesetze/SeeArbG/137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