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SeeArbG — Pflicht zum Mitführen eines Fischereiarbeitszeugnisses, Erteilungsvoraussetzungen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Reeder darf ein Fischereifahrzeug, das länger als drei Tage auf See bleibt und</w:t>
      </w:r>
    </w:p>
    <w:p>
      <w:pPr>
        <w:ind w:left="420"/>
      </w:pPr>
      <w:r>
        <w:t xml:space="preserve">1. dessen Länge 24 Meter oder mehr beträgt oder</w:t>
      </w:r>
    </w:p>
    <w:p>
      <w:pPr>
        <w:ind w:left="420"/>
      </w:pPr>
      <w:r>
        <w:t xml:space="preserve">2. das regelmäßig in mehr als 200 Seemeilen Entfernung von der Küstenlinie oder jenseits des äußeren Randes des Festlandsockels eingesetzt wird, wenn diese Entfernung von der Küstenlinie größer ist,</w:t>
      </w:r>
    </w:p>
    <w:p>
      <w:r>
        <w:t xml:space="preserve">nur in Dienst stellen oder in Fahrt halten, wenn er für das Fahrzeug ein gültiges Fischereiarbeitszeugnis hat. § 130 Absatz 1 Satz 2 und 3, Absatz 2 Satz 1 Nummer 1, Absatz 5 Satz 2 und Absatz 7 gilt entsprechend. Die Berufsgenossenschaft erteilt das Fischereiarbeitszeugnis für eine Dauer von bis zu vier Jahren. Ein erneutes Erteilen des Fischereiarbeitszeugnisses ist nur unter den Voraussetzungen des § 130 Absatz 2 Satz 1 Nummer 1 möglich.</w:t>
      </w:r>
    </w:p>
    <w:p>
      <w:r>
        <w:t xml:space="preserve">(2) Ein Fischereiarbeitszeugnis verliert bei entsprechender Anwendung der Voraussetzungen des § 130 Absatz 6 Satz 1 seine Gültigkeit; § 130 Absatz 6 Satz 2 gilt entsprechend.</w:t>
      </w:r>
    </w:p>
    <w:p>
      <w:r>
        <w:rPr>
          <w:color w:val="555555"/>
          <w:sz w:val="17"/>
        </w:rPr>
        <w:t xml:space="preserve">Zitiervorschlag: § 133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