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125 SeeArbG — Anbordbringen von Personen und Gegenständen</w:t>
      </w:r>
    </w:p>
    <w:p>
      <w:r>
        <w:rPr>
          <w:color w:val="555555"/>
          <w:sz w:val="18"/>
        </w:rPr>
        <w:t xml:space="preserve">Seearbeitsgesetz</w:t>
      </w:r>
    </w:p>
    <w:p>
      <w:r>
        <w:rPr>
          <w:color w:val="555555"/>
          <w:sz w:val="18"/>
        </w:rPr>
        <w:t xml:space="preserve">Stand: 10.06.2019 (konsolidierte Textfassung, kein amtliches Inkrafttretensdatum)</w:t>
      </w:r>
    </w:p>
    <w:p>
      <w:r>
        <w:t xml:space="preserve">(1) Die Besatzungsmitglieder dürfen Personen, die nicht zur Schiffsbesatzung gehören, nicht ohne Erlaubnis des Kapitäns an Bord bringen.</w:t>
      </w:r>
    </w:p>
    <w:p>
      <w:r>
        <w:t xml:space="preserve">(2) Die Besatzungsmitglieder sind berechtigt, persönliche Bedarfsgegenstände und Verbrauchsgüter in angemessenem Umfang an Bord zu bringen, sofern dadurch nicht gesetzliche Vorschriften verletzt, die Ordnung an Bord beeinträchtigt oder Menschen, Schiff oder Ladung gefährdet werden. Die Mitnahme von anderen Gegenständen, insbesondere von Waffen und Munition, ist nur mit Einwilligung des Kapitäns zulässig.</w:t>
      </w:r>
    </w:p>
    <w:p>
      <w:r>
        <w:t xml:space="preserve">(3) Werden Gegenstände entgegen den Vorschriften des Absatzes 2 an Bord gebracht, so kann der Kapitän sie in Verwahrung nehmen oder in anderer Weise sicherstellen. Gefährdet ihr Verbleib die Gesundheit der an Bord befindlichen Personen, das Schiff oder die Ladung oder könnte er das Eingreifen einer Behörde veranlassen, so kann der Kapitän die Beseitigung der Gegenstände verlangen. Kommt das Besatzungsmitglied dem Verlangen nicht nach, so kann der Kapitän die Vernichtung der Gegenstände veranlassen. In diesem Falle sind die Tatsache und der Grund der Vernichtung in das Seetagebuch einzutragen.</w:t>
      </w:r>
    </w:p>
    <w:p>
      <w:r>
        <w:rPr>
          <w:color w:val="555555"/>
          <w:sz w:val="17"/>
        </w:rPr>
        <w:t xml:space="preserve">Zitiervorschlag: § 125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