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122 SeeArbG — Anordnungsbefugnis der Schiffsoffiziere und der anderen Vorgesetzten</w:t>
      </w:r>
    </w:p>
    <w:p>
      <w:r>
        <w:rPr>
          <w:color w:val="555555"/>
          <w:sz w:val="18"/>
        </w:rPr>
        <w:t xml:space="preserve">Seearbeitsgesetz</w:t>
      </w:r>
    </w:p>
    <w:p>
      <w:r>
        <w:rPr>
          <w:color w:val="555555"/>
          <w:sz w:val="18"/>
        </w:rPr>
        <w:t xml:space="preserve">Stand: 10.06.2019 (konsolidierte Textfassung, kein amtliches Inkrafttretensdatum)</w:t>
      </w:r>
    </w:p>
    <w:p>
      <w:r>
        <w:t xml:space="preserve">(1) Die Schiffsoffiziere und die anderen Vorgesetzten haben die Anordnungsbefugnis zur Erhaltung der öffentlichen Sicherheit und Ordnung an Bord und im Zusammenhang mit dem Betrieb des Schiffes in ihrem Verantwortungsbereich.</w:t>
      </w:r>
    </w:p>
    <w:p>
      <w:r>
        <w:t xml:space="preserve">(2) Die Schiffsoffiziere sind die Vorgesetzten der in ihrem Dienstzweig tätigen Besatzungsmitglieder, soweit diese nicht Leiter von Dienstzweigen sind, sowie der innerhalb ihres Dienstzweiges tätigen Personen nach § 3 Absatz 3. Leiter von Dienstzweigen sind Vorgesetzte aller in ihrem Dienstzweig tätigen Besatzungsmitglieder und Personen nach § 3 Absatz 3.</w:t>
      </w:r>
    </w:p>
    <w:p>
      <w:r>
        <w:t xml:space="preserve">(3) Der Kapitän kann innerhalb der einzelnen Dienstzweige auch andere Besatzungsmitglieder als Vorgesetzte bestimmen. Die Bestimmung ist durch Aushang bekannt zu machen.</w:t>
      </w:r>
    </w:p>
    <w:p>
      <w:r>
        <w:t xml:space="preserve">(4) Der wachhabende Schiffsoffizier des Maschinendienstes und die anderen Besatzungsmitglieder, die Leiter von Dienstzweigen sind, haben die Anordnungen des wachhabenden nautischen Schiffsoffiziers, die im Rahmen des Wachdienstes ergehen, in ihrem Dienstbereich durchzuführen.</w:t>
      </w:r>
    </w:p>
    <w:p>
      <w:r>
        <w:rPr>
          <w:color w:val="555555"/>
          <w:sz w:val="17"/>
        </w:rPr>
        <w:t xml:space="preserve">Zitiervorschlag: § 122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