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120 SeeArbG — Verhalten an Bord</w:t>
      </w:r>
    </w:p>
    <w:p>
      <w:r>
        <w:rPr>
          <w:color w:val="555555"/>
          <w:sz w:val="18"/>
        </w:rPr>
        <w:t xml:space="preserve">Seearbeitsgesetz</w:t>
      </w:r>
    </w:p>
    <w:p>
      <w:r>
        <w:rPr>
          <w:color w:val="555555"/>
          <w:sz w:val="18"/>
        </w:rPr>
        <w:t xml:space="preserve">Stand: 10.06.2019 (konsolidierte Textfassung, kein amtliches Inkrafttretensdatum)</w:t>
      </w:r>
    </w:p>
    <w:p>
      <w:r>
        <w:t xml:space="preserve">Die Schiffsbesatzung hat vertrauensvoll und unter gegenseitiger Achtung und Rücksichtnahme zusammenzuarbeiten, um den Schiffsbetrieb zu sichern und die öffentliche Sicherheit und Ordnung an Bord und im Zusammenhang mit dem Betrieb des Schiffes zu gewährleisten.</w:t>
      </w:r>
    </w:p>
    <w:p>
      <w:r>
        <w:rPr>
          <w:color w:val="555555"/>
          <w:sz w:val="17"/>
        </w:rPr>
        <w:t xml:space="preserve">Zitiervorschlag: § 120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