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118 SeeArbG — Rechtsverordnungen</w:t>
      </w:r>
    </w:p>
    <w:p>
      <w:r>
        <w:rPr>
          <w:color w:val="555555"/>
          <w:sz w:val="18"/>
        </w:rPr>
        <w:t xml:space="preserve">Seearbeitsgesetz</w:t>
      </w:r>
    </w:p>
    <w:p>
      <w:r>
        <w:rPr>
          <w:color w:val="555555"/>
          <w:sz w:val="18"/>
        </w:rPr>
        <w:t xml:space="preserve">Stand: 21.03.2023 (konsolidierte Textfassung, kein amtliches Inkrafttretensdatum)</w:t>
      </w:r>
    </w:p>
    <w:p>
      <w:r>
        <w:t xml:space="preserve">Das Bundesministerium für Arbeit und Soziales wird ermächtigt, im Einvernehmen mit dem Bundesministerium für Digitales und Verkehr durch Rechtsverordnung ohne Zustimmung des Bundesrates die Arbeitsverbote und Arbeitsbeschränkungen des § 117 Absatz 1 bis 3 für Jugendliche bei Arbeiten, die mit besonderen Gefahren für Leben, Gesundheit oder für die körperliche oder seelisch-geistige Entwicklung verbunden sind, zu bestimmen. Rechtsverordnungen nach Satz 1 bedürfen des Einvernehmens des Bundesministeriums für Ernährung und Landwirtschaft, soweit die Seefischerei betroffen ist.</w:t>
      </w:r>
    </w:p>
    <w:p>
      <w:r>
        <w:rPr>
          <w:color w:val="555555"/>
          <w:sz w:val="17"/>
        </w:rPr>
        <w:t xml:space="preserve">Zitiervorschlag: § 118 SeeArbG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https://recht.nulegal.eu/gesetze/SeeArbG/118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