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SeeArbG — Allgemeiner Schutz gegen Betriebsgefahren</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ist verpflichtet, den gesamten Schiffsbetrieb und alle Arbeitsmittel, Geräte und Anlagen an Bord so einzurichten und zu unterhalten sowie die Beschäftigung und den Ablauf der Arbeit so zu regeln, dass die Besatzungsmitglieder gegen See- und Feuergefahren, arbeitsbedingte Gesundheitsgefahren sowie gegen sonstige Gefahren für Leben, Gesundheit und Sittlichkeit soweit geschützt sind, wie die Art des Schiffsbetriebs es gestattet. Insbesondere hat der Reeder sicherzustellen, dass dem Kapitän die erforderlichen Mittel zur Verfügung gestellt werden, um eine ausreichende Besatzungsstärke des Schiffes und die Einhaltung der gesetzlichen Arbeitsschutz- und Arbeitszeitbestimmungen zu gewährleisten. Die Pflichten zur Unterhaltung und zum sicheren Betrieb des Schiffes und der Arbeitsbereiche, Anlagen und Geräte an Bord sowie zur Regelung der Beschäftigung und des Ablaufs der Arbeit treffen auch den Kapitän.</w:t>
      </w:r>
    </w:p>
    <w:p>
      <w:r>
        <w:t xml:space="preserve">(2) Die Besatzungsmitglieder haben die Arbeitsschutzmaßnahmen zu befolgen.</w:t>
      </w:r>
    </w:p>
    <w:p>
      <w:r>
        <w:rPr>
          <w:color w:val="555555"/>
          <w:sz w:val="17"/>
        </w:rPr>
        <w:t xml:space="preserve">Zitiervorschlag: § 114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