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 SeeArbG — Ausnahmen</w:t>
      </w:r>
    </w:p>
    <w:p>
      <w:r>
        <w:rPr>
          <w:color w:val="555555"/>
          <w:sz w:val="18"/>
        </w:rPr>
        <w:t xml:space="preserve">Seearbeitsgesetz</w:t>
      </w:r>
    </w:p>
    <w:p>
      <w:r>
        <w:rPr>
          <w:color w:val="555555"/>
          <w:sz w:val="18"/>
        </w:rPr>
        <w:t xml:space="preserve">Stand: 21.03.2023 (konsolidierte Textfassung, kein amtliches Inkrafttretensdatum)</w:t>
      </w:r>
    </w:p>
    <w:p>
      <w:r>
        <w:t xml:space="preserve">(1) Die Berufsgenossenschaft kann auf Antrag im Einzelfall Ausnahmen von den Anforderungen nach diesem Unterabschnitt und den auf Grund der Vorschriften dieses Unterabschnitts erlassenen Rechtsverordnungen bewilligen, soweit dies mit dem Stand der medizinischen Erkenntnisse vereinbar ist und die medizinische Behandlung und Versorgung der Personen an Bord nicht gefährdet wird.</w:t>
      </w:r>
    </w:p>
    <w:p>
      <w:r>
        <w:t xml:space="preserve">(2) Die Berufsgenossenschaft kann mit Zustimmung des Bundesministeriums für Digitales und Verkehr gegenüber den Reedern anordnen, dass abweichend von dem im Verkehrsblatt oder im Bundesanzeiger veröffentlichten Stand der medizinischen Erkenntnisse die medizinische Ausstattung bestimmten Anforderungen zu genügen hat, soweit dies erforderlich ist, um neueren Erkenntnissen, die im Stand der medizinischen Erkenntnisse noch nicht berücksichtigt sind, Rechnung zu tragen. Eine Anordnung nach Satz 1 gilt bis zur Veröffentlichung eines neueren Standes der medizinischen Erkenntnisse, längstens für zwei Jahre. Die Anordnung ist im Verkehrsblatt oder im Bundesanzeiger bekannt zu geben; sie kann zusätzlich auf der Internetseite der Berufsgenossenschaft veröffentlicht werden.</w:t>
      </w:r>
    </w:p>
    <w:p>
      <w:r>
        <w:rPr>
          <w:color w:val="555555"/>
          <w:sz w:val="17"/>
        </w:rPr>
        <w:t xml:space="preserve">Zitiervorschlag: § 111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