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SeeArbG — Überwachung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Befugnisse des § 143 hinaus können die Berufsgenossenschaft und bei ihr beschäftigte Personen insbesondere anordnen, dass</w:t>
      </w:r>
    </w:p>
    <w:p>
      <w:pPr>
        <w:ind w:left="420"/>
      </w:pPr>
      <w:r>
        <w:t xml:space="preserve">1. die medizinischen Räumlichkeiten so ausgestattet und unterhalten werden, dass sie den Anforderungen des § 107 Absatz 1 Satz 1 genügen,</w:t>
      </w:r>
    </w:p>
    <w:p>
      <w:pPr>
        <w:ind w:left="420"/>
      </w:pPr>
      <w:r>
        <w:t xml:space="preserve">2. die medizinische Ausstattung, die nicht dem Stand der medizinischen Erkenntnisse im Sinne des § 107 Absatz 2 Satz 4 entspricht, so geändert oder ergänzt wird, dass sie den Anforderungen des § 107 Absatz 2 Satz 3 oder einer Anordnung nach § 111 Absatz 2 genügt.</w:t>
      </w:r>
    </w:p>
    <w:p>
      <w:r>
        <w:rPr>
          <w:color w:val="555555"/>
          <w:sz w:val="17"/>
        </w:rPr>
        <w:t xml:space="preserve">Zitiervorschlag: § 110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