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SeeArbG — Besonderheiten bei der medizinischen Betreuung im Ausland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ein Besatzungsmitglied das Schiff im Ausland wegen Krankheit oder Verletzung verlassen müssen, so kann das Besatzungsmitglied vom Reeder Heilbehandlung und Verpflegung in einem zumutbaren Krankenhaus verlangen.</w:t>
      </w:r>
    </w:p>
    <w:p>
      <w:r>
        <w:t xml:space="preserve">(2) In den Fällen des Absatzes 1 hat der Reeder dem Besatzungsmitglied zur Befriedigung notwendiger persönlicher Bedürfnisse ein angemessenes Tagegeld zu zahlen, sofern nicht die Heuer nach § 104 fortzuzahlen ist.</w:t>
      </w:r>
    </w:p>
    <w:p>
      <w:r>
        <w:rPr>
          <w:color w:val="555555"/>
          <w:sz w:val="17"/>
        </w:rPr>
        <w:t xml:space="preserve">Zitiervorschlag: § 101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