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SeeArbG§119Abs4V — Inhalt, Begriffsbestimmung</w:t>
      </w:r>
    </w:p>
    <w:p>
      <w:r>
        <w:rPr>
          <w:color w:val="555555"/>
          <w:sz w:val="18"/>
        </w:rPr>
        <w:t xml:space="preserve">Verordnung nach § 119 Absatz 4 des Seearbeitsgesetzes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ergänzend das Verfahren zur Gewährung des Gesamtbetrages nach § 119 Absatz 4 des Seearbeitsgesetzes.</w:t>
      </w:r>
    </w:p>
    <w:p>
      <w:r>
        <w:t xml:space="preserve">(2) Berufsgenossenschaft im Sinne dieser Verordnung ist die Berufsgenossenschaft Verkehrswirtschaft Post-Logistik Telekommunikation.</w:t>
      </w:r>
    </w:p>
    <w:p>
      <w:r>
        <w:t xml:space="preserve">(3) Sozialeinrichtung im Sinne dieser Verordnung ist eine Sozialeinrichtung für Seeleute in inländischen Häfen nach § 119 Absatz 4 des Seearbeitsgesetzes.</w:t>
      </w:r>
    </w:p>
    <w:p>
      <w:r>
        <w:rPr>
          <w:color w:val="555555"/>
          <w:sz w:val="17"/>
        </w:rPr>
        <w:t xml:space="preserve">Zitiervorschlag: § 1 SeeArbG§119Abs4V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https://recht.nulegal.eu/gesetze/SeeArbG%C2%A7119Abs4V/1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