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SeeArbÜV</w:t>
      </w:r>
    </w:p>
    <w:p>
      <w:r>
        <w:rPr>
          <w:color w:val="555555"/>
          <w:sz w:val="18"/>
        </w:rPr>
        <w:t xml:space="preserve">Seearbeitsüberprüfungs-Verordnung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Verkehr, Bau und Stadtentwicklung verordnet auf Grund</w:t>
      </w:r>
    </w:p>
    <w:p>
      <w:pPr>
        <w:ind w:left="420"/>
      </w:pPr>
      <w:r>
        <w:t xml:space="preserve">– des § 136 Absatz 1 des Seearbeitsgesetzes vom 20. April 2013 (BGBl. I S. 868) im Einvernehmen mit dem Bundesministerium für Arbeit und Soziales und</w:t>
      </w:r>
    </w:p>
    <w:p>
      <w:pPr>
        <w:ind w:left="420"/>
      </w:pPr>
      <w:r>
        <w:t xml:space="preserve">– des § 136 Absatz 2 des Seearbeitsgesetzes vom 20. April 2013 (BGBl. I S. 868):</w:t>
      </w:r>
    </w:p>
    <w:p>
      <w:r>
        <w:rPr>
          <w:color w:val="555555"/>
          <w:sz w:val="17"/>
        </w:rPr>
        <w:t xml:space="preserve">Zitiervorschlag: Eingangsformel SeeArbÜV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https://recht.nulegal.eu/gesetze/SeeArb%C3%9CV/eingangsformel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