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SeeArbÜV — Verantwortlichkeit des Reeders</w:t>
      </w:r>
    </w:p>
    <w:p>
      <w:r>
        <w:rPr>
          <w:color w:val="555555"/>
          <w:sz w:val="18"/>
        </w:rPr>
        <w:t xml:space="preserve">Seearbeitsüberprüfungs-Verordnung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Eigentümer eines Schiffes der Reeder (§ 4 Absatz 1 Nummer 1 des Seearbeitsgesetzes), hat er der Berufsgenossenschaft einen Auszug aus dem Seeschiffsregister vorzulegen.</w:t>
      </w:r>
    </w:p>
    <w:p>
      <w:r>
        <w:t xml:space="preserve">(2) Ist nicht der Eigentümer eines Schiffes der Reeder, sondern nimmt eine andere natürliche oder juristische Person die Verantwortung für den Schiffsbetrieb wahr (§ 4 Absatz 1 Nummer 2 des Seearbeitsgesetzes), so hat diese dies unter Angabe ihres Namens und ihrer Anschrift der Berufsgenossenschaft schriftlich zu erklären. Die Erklärung kann auch elektronisch abgegeben werden.</w:t>
      </w:r>
    </w:p>
    <w:p>
      <w:r>
        <w:t xml:space="preserve">(3) Hat die Berufsgenossenschaft berechtigte Zweifel daran, dass der Eigentümer die Verantwortung nach § 4 Absatz 1 Nummer 2 des Seearbeitsgesetzes einer natürlichen oder juristischen Person vollständig übertragen hat, kann sie vom Eigentümer des Schiffes die zur Klärung erforderlichen Auskünfte sowie die Vorlage des in § 4 Absatz 1 Nummer 2 des Seearbeitsgesetzes bezeichneten Vertrages verlangen.</w:t>
      </w:r>
    </w:p>
    <w:p>
      <w:r>
        <w:rPr>
          <w:color w:val="555555"/>
          <w:sz w:val="17"/>
        </w:rPr>
        <w:t xml:space="preserve">Zitiervorschlag: § 3 SeeArbÜV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https://recht.nulegal.eu/gesetze/SeeArb%C3%9CV/3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