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SeeArbÜV — Zielsetzung und Anwendungsbereich</w:t>
      </w:r>
    </w:p>
    <w:p>
      <w:r>
        <w:rPr>
          <w:color w:val="555555"/>
          <w:sz w:val="18"/>
        </w:rPr>
        <w:t xml:space="preserve">Seearbeitsüberprüfungs-Verordnung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</w:t>
      </w:r>
    </w:p>
    <w:p>
      <w:pPr>
        <w:ind w:left="420"/>
      </w:pPr>
      <w:r>
        <w:t xml:space="preserve">1. die Überprüfung der Einhaltung der Arbeits- und Lebensbedingungen an Bord von Schiffen nach den Rechtsvorschriften, die zum Schutz vor Gefahren für die Sicherheit und die Gesundheit oder zum sonstigen Schutz der Besatzungsmitglieder erlassen worden sind (Flaggenstaatkontrolle),</w:t>
      </w:r>
    </w:p>
    <w:p>
      <w:pPr>
        <w:ind w:left="420"/>
      </w:pPr>
      <w:r>
        <w:t xml:space="preserve">2. das nähere Verfahren für die Ausstellung, Gültigkeit und Form des Seearbeitszeugnisses, des vorläufigen Seearbeitszeugnisses, der Seearbeits-Konformitätserklärung, des Fischereiarbeitszeugnisses sowie der Überprüfungsberichte,</w:t>
      </w:r>
    </w:p>
    <w:p>
      <w:pPr>
        <w:ind w:left="420"/>
      </w:pPr>
      <w:r>
        <w:t xml:space="preserve">3. die Überwachung der anerkannten Organisationen bei ihrer Überprüfungstätigkeit nach dem Seearbeitsgesetz und den auf Grund dieses Gesetzes erlassenen Rechtsverordnungen.</w:t>
      </w:r>
    </w:p>
    <w:p>
      <w:r>
        <w:rPr>
          <w:color w:val="555555"/>
          <w:sz w:val="17"/>
        </w:rPr>
        <w:t xml:space="preserve">Zitiervorschlag: § 1 SeeArbÜV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https://recht.nulegal.eu/gesetze/SeeArb%C3%9CV/1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