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SeeAnlG — Versagen der Genehmigung</w:t>
      </w:r>
    </w:p>
    <w:p>
      <w:r>
        <w:rPr>
          <w:color w:val="555555"/>
          <w:sz w:val="18"/>
        </w:rPr>
        <w:t xml:space="preserve">Seeanlagengesetz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darf nur versagt werden, wenn</w:t>
      </w:r>
    </w:p>
    <w:p>
      <w:pPr>
        <w:ind w:left="420"/>
      </w:pPr>
      <w:r>
        <w:t xml:space="preserve">1. die Meeresumwelt im Sinn des § 5 Absatz 3 Nummer 1 gefährdet oder die Sicherheit und Leichtigkeit des Verkehrs beeinträchtigt wird oder</w:t>
      </w:r>
    </w:p>
    <w:p>
      <w:pPr>
        <w:ind w:left="420"/>
      </w:pPr>
      <w:r>
        <w:t xml:space="preserve">2. die Erfordernisse der Raumordnung nach § 6 Absatz 2 oder die Sicherheit der Landes- und Bündnisverteidigung oder sonstige überwiegende öffentliche oder private Belange einer Genehmigung entgegenstehen.</w:t>
      </w:r>
    </w:p>
    <w:p>
      <w:r>
        <w:rPr>
          <w:color w:val="555555"/>
          <w:sz w:val="17"/>
        </w:rPr>
        <w:t xml:space="preserve">Zitiervorschlag: § 7 SeeAnlG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https://recht.nulegal.eu/gesetze/SeeAnlG/7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