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SeeAnlG — Planfeststellungsbeschluss, Plangenehmigung</w:t>
      </w:r>
    </w:p>
    <w:p>
      <w:r>
        <w:rPr>
          <w:color w:val="555555"/>
          <w:sz w:val="18"/>
        </w:rPr>
        <w:t xml:space="preserve">Seeanlagengesetz</w:t>
      </w:r>
    </w:p>
    <w:p>
      <w:r>
        <w:rPr>
          <w:color w:val="555555"/>
          <w:sz w:val="18"/>
        </w:rPr>
        <w:t xml:space="preserve">Stand: 10.12.2020 (konsolidierte Textfassung, kein amtliches Inkrafttretensdatum)</w:t>
      </w:r>
    </w:p>
    <w:p>
      <w:r>
        <w:t xml:space="preserve">(1) § 74 Absatz 6 und 7 des Verwaltungsverfahrensgesetzes ist nur anzuwenden, wenn zusätzlich zu den dort genannten Voraussetzungen für das Vorhaben nach dem Gesetz über die Umweltverträglichkeitsprüfung keine Umweltverträglichkeitsprüfung durchzuführen ist.</w:t>
      </w:r>
    </w:p>
    <w:p>
      <w:r>
        <w:t xml:space="preserve">(2) Die Planfeststellungsbehörde kann den Plan in Teilabschnitten feststellen. Sie kann einzelne Maßnahmen zur Errichtung oder die Inbetriebnahme unter dem Vorbehalt einer Freigabe zulassen, die zu erteilen ist, wenn der Nachweis über die Erfüllung angeordneter Auflagen erbracht worden ist. Auf Anforderung der Planfeststellungsbehörde erfolgt der Nachweis durch die Vorlage eines Gutachtens eines anerkannten Sachverständigen.</w:t>
      </w:r>
    </w:p>
    <w:p>
      <w:r>
        <w:t xml:space="preserve">(3) Der Plan darf nur festgestellt werden, wenn</w:t>
      </w:r>
    </w:p>
    <w:p>
      <w:pPr>
        <w:ind w:left="420"/>
      </w:pPr>
      <w:r>
        <w:t xml:space="preserve">1. die Meeresumwelt nicht gefährdet wird, insbesondere</w:t>
      </w:r>
    </w:p>
    <w:p>
      <w:pPr>
        <w:ind w:left="780"/>
      </w:pPr>
      <w:r>
        <w:t xml:space="preserve">a) eine Verschmutzung der Meeresumwelt im Sinn des Artikels 1 Absatz 1 Nummer 4 des Seerechtsübereinkommens der Vereinten Nationen vom 10. Dezember 1982 (BGBl. 1994 II S. 1798, 1799) nicht zu besorgen ist, und</w:t>
      </w:r>
    </w:p>
    <w:p>
      <w:pPr>
        <w:ind w:left="780"/>
      </w:pPr>
      <w:r>
        <w:t xml:space="preserve">b) der Vogelzug nicht gefährdet wird und</w:t>
      </w:r>
    </w:p>
    <w:p>
      <w:pPr>
        <w:ind w:left="420"/>
      </w:pPr>
      <w:r>
        <w:t xml:space="preserve">2. die Sicherheit und Leichtigkeit des Verkehrs nicht beeinträchtigt wird,</w:t>
      </w:r>
    </w:p>
    <w:p>
      <w:pPr>
        <w:ind w:left="420"/>
      </w:pPr>
      <w:r>
        <w:t xml:space="preserve">3. die Sicherheit der Landes- und Bündnisverteidigung nicht beeinträchtigt wird,</w:t>
      </w:r>
    </w:p>
    <w:p>
      <w:pPr>
        <w:ind w:left="420"/>
      </w:pPr>
      <w:r>
        <w:t xml:space="preserve">4. er mit vorrangigen bergrechtlichen Aktivitäten vereinbar ist,</w:t>
      </w:r>
    </w:p>
    <w:p>
      <w:pPr>
        <w:ind w:left="420"/>
      </w:pPr>
      <w:r>
        <w:t xml:space="preserve">5. er mit bestehenden und geplanten Kabel-, Offshore-Anbindungs-, Rohr- und sonstigen Leitungen vereinbar ist,</w:t>
      </w:r>
    </w:p>
    <w:p>
      <w:pPr>
        <w:ind w:left="420"/>
      </w:pPr>
      <w:r>
        <w:t xml:space="preserve">6. er mit bestehenden und geplanten Standorten von Konverterplattformen oder Umspannanlagen vereinbar ist und</w:t>
      </w:r>
    </w:p>
    <w:p>
      <w:pPr>
        <w:ind w:left="420"/>
      </w:pPr>
      <w:r>
        <w:t xml:space="preserve">7. andere Anforderungen nach diesem Gesetz und sonstige öffentlich-rechtliche Bestimmungen eingehalten werden.</w:t>
      </w:r>
    </w:p>
    <w:p>
      <w:r>
        <w:t xml:space="preserve">(4) Der Planfeststellungsbeschluss tritt außer nach § 2 Absatz 3 Satz 1 in Verbindung mit § 75 Absatz 4 des Verwaltungsverfahrensgesetzes auch dann außer Kraft, wenn Anlagen, die Gegenstand des Planfeststellungsbeschlusses sind, während eines Zeitraums von mehr als drei Jahren nicht mehr betrieben worden sind. Das Außerkrafttreten des Planfeststellungsbeschlusses ist auf der Internetseite der Planfeststellungsbehörde und in den Nachrichten für Seefahrer (Amtliche Veröffentlichung des Bundesamtes für Seeschifffahrt und Hydrographie) bekannt zu machen.</w:t>
      </w:r>
    </w:p>
    <w:p>
      <w:r>
        <w:t xml:space="preserve">(5) An Stelle eines Planfeststellungsbeschlusses kann eine Plangenehmigung erteilt werden, wenn</w:t>
      </w:r>
    </w:p>
    <w:p>
      <w:pPr>
        <w:ind w:left="420"/>
      </w:pPr>
      <w:r>
        <w:t xml:space="preserve">1. auf der betreffenden Fläche zuvor bereits ein Plan festgestellt worden ist, der nach Absatz 4 unwirksam geworden ist, oder</w:t>
      </w:r>
    </w:p>
    <w:p>
      <w:pPr>
        <w:ind w:left="420"/>
      </w:pPr>
      <w:r>
        <w:t xml:space="preserve">2. die Voraussetzungen des § 74 Absatz 6 Satz 1 des Verwaltungsverfahrensgesetzes vorliegen.</w:t>
      </w:r>
    </w:p>
    <w:p>
      <w:r>
        <w:t xml:space="preserve">(6) § 15 Absatz 2 Satz 3 des Bundesnaturschutzgesetzes ist mit der Maßgabe anzuwenden, dass eine Beeinträchtigung ersetzt ist, wenn und sobald die beeinträchtigten Funktionen des Naturhaushalts in dem betroffenen Naturraum oder, falls dies nicht möglich ist, in einem benachbarten Naturraum in gleichwertiger Weise hergestellt sind und das Landschaftsbild landschaftsgerecht neu gestaltet ist.</w:t>
      </w:r>
    </w:p>
    <w:p>
      <w:r>
        <w:rPr>
          <w:color w:val="555555"/>
          <w:sz w:val="17"/>
        </w:rPr>
        <w:t xml:space="preserve">Zitiervorschlag: § 5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