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SeeAnlG — Übergangsvorschriften</w:t>
      </w:r>
    </w:p>
    <w:p>
      <w:r>
        <w:rPr>
          <w:color w:val="555555"/>
          <w:sz w:val="18"/>
        </w:rPr>
        <w:t xml:space="preserve">Seeanlagengesetz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Anlagen im Sinn des § 1 Absatz 2, die nach den Vorschriften der Seeanlagenverordnung vom 23. Januar 1997 (BGBl. I S. 57), die zuletzt durch Artikel 55 der Verordnung vom 2. Juni 2016 (BGBl. I S. 1257) geändert worden ist, errichtet worden sind, sind die bisherigen Vorschriften weiter anzuwenden.</w:t>
      </w:r>
    </w:p>
    <w:p>
      <w:r>
        <w:t xml:space="preserve">(2) Für Anlagen im Sinn des § 1 Absatz 2,</w:t>
      </w:r>
    </w:p>
    <w:p>
      <w:pPr>
        <w:ind w:left="420"/>
      </w:pPr>
      <w:r>
        <w:t xml:space="preserve">1. für die am 1. Januar 2017 ein Antrag auf Planfeststellung oder Genehmigung nach der Seeanlagenverordnung vom 23. Januar 1997 (BGBl. I S. 57), die zuletzt durch Artikel 55 der Verordnung vom 2. Juni 2016 (BGBl. I S. 1257) geändert worden ist, gestellt, aber noch nicht bestandskräftig entschieden ist, wird das Verwaltungsverfahren nach den Vorschriften dieses Gesetzes fortgeführt;</w:t>
      </w:r>
    </w:p>
    <w:p>
      <w:pPr>
        <w:ind w:left="420"/>
      </w:pPr>
      <w:r>
        <w:t xml:space="preserve">2. die am 1. Januar 2017 nach den Vorschriften der Seeanlagenverordnung vom 23. Januar 1997 (BGBl. I S. 57), die zuletzt durch Artikel 55 der Verordnung vom 2. Juni 2016 (BGBl. I S. 1257) geändert worden ist, bestandskräftig planfestgestellt oder genehmigt, aber noch nicht errichtet sind, gilt der Planfeststellungsbeschluss oder die Genehmigung als Planfeststellungsbeschluss oder Genehmigung nach diesem Gesetz.</w:t>
      </w:r>
    </w:p>
    <w:p>
      <w:r>
        <w:rPr>
          <w:color w:val="555555"/>
          <w:sz w:val="17"/>
        </w:rPr>
        <w:t xml:space="preserve">Zitiervorschlag: § 18 SeeAnlG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https://recht.nulegal.eu/gesetze/SeeAnlG/18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