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SeeAnlG — Bußgeldvorschriften</w:t>
      </w:r>
    </w:p>
    <w:p>
      <w:r>
        <w:rPr>
          <w:color w:val="555555"/>
          <w:sz w:val="18"/>
        </w:rPr>
        <w:t xml:space="preserve">Seeanlagengesetz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Planfeststellungsbeschluss oder ohne Plangenehmigung nach § 2 oder ohne Genehmigung nach § 6 eine Anlage errichtet, betreibt oder ändert oder</w:t>
      </w:r>
    </w:p>
    <w:p>
      <w:pPr>
        <w:ind w:left="420"/>
      </w:pPr>
      <w:r>
        <w:t xml:space="preserve">2. einer vollziehbaren Anordnung nach § 14 Absatz 3 Satz 1 oder Absatz 4 Satz 2 zuwiderhandelt.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 des § 36 Absatz 1 Nummer 1 des Gesetzes über Ordnungswidrigkeiten ist das Bundesamt für Seeschifffahrt und Hydrographie.</w:t>
      </w:r>
    </w:p>
    <w:p>
      <w:r>
        <w:rPr>
          <w:color w:val="555555"/>
          <w:sz w:val="17"/>
        </w:rPr>
        <w:t xml:space="preserve">Zitiervorschlag: § 17 SeeAnlG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https://recht.nulegal.eu/gesetze/SeeAnlG/17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