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SeeAnlG — Pflichten der verantwortlichen Personen</w:t>
      </w:r>
    </w:p>
    <w:p>
      <w:r>
        <w:rPr>
          <w:color w:val="555555"/>
          <w:sz w:val="18"/>
        </w:rPr>
        <w:t xml:space="preserve">Seeanlagengesetz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im Sinn von § 13 verantwortlichen Personen haben sicherzustellen, dass von der Anlage während der Errichtung, des Betriebs und nach einer Betriebseinstellung</w:t>
      </w:r>
    </w:p>
    <w:p>
      <w:pPr>
        <w:ind w:left="420"/>
      </w:pPr>
      <w:r>
        <w:t xml:space="preserve">1. keine Gefahren für die Meeresumwelt und</w:t>
      </w:r>
    </w:p>
    <w:p>
      <w:pPr>
        <w:ind w:left="420"/>
      </w:pPr>
      <w:r>
        <w:t xml:space="preserve">2. keine Beeinträchtigungen</w:t>
      </w:r>
    </w:p>
    <w:p>
      <w:pPr>
        <w:ind w:left="780"/>
      </w:pPr>
      <w:r>
        <w:t xml:space="preserve">a) der Sicherheit und Leichtigkeit des Verkehrs,</w:t>
      </w:r>
    </w:p>
    <w:p>
      <w:pPr>
        <w:ind w:left="780"/>
      </w:pPr>
      <w:r>
        <w:t xml:space="preserve">b) der Sicherheit der Landes- und Bündnisverteidigung</w:t>
      </w:r>
    </w:p>
    <w:p>
      <w:pPr>
        <w:ind w:left="780"/>
      </w:pPr>
      <w:r>
        <w:t xml:space="preserve">c) sonstiger überwiegender öffentlicher Belange oder</w:t>
      </w:r>
    </w:p>
    <w:p>
      <w:pPr>
        <w:ind w:left="780"/>
      </w:pPr>
      <w:r>
        <w:t xml:space="preserve">d) privater Rechte</w:t>
      </w:r>
    </w:p>
    <w:p>
      <w:r>
        <w:t xml:space="preserve">ausgehen. Abweichende Zustände sind von den verantwortlichen Personen unverzüglich dem Bundesamt für Seeschifffahrt und Hydrographie zu melden.</w:t>
      </w:r>
    </w:p>
    <w:p>
      <w:r>
        <w:rPr>
          <w:color w:val="555555"/>
          <w:sz w:val="17"/>
        </w:rPr>
        <w:t xml:space="preserve">Zitiervorschlag: § 12 SeeAnlG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https://recht.nulegal.eu/gesetze/SeeAnlG/12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