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SeeAZV</w:t>
      </w:r>
    </w:p>
    <w:p>
      <w:r>
        <w:rPr>
          <w:color w:val="555555"/>
          <w:sz w:val="18"/>
        </w:rPr>
        <w:t xml:space="preserve">See-Arbeitszeitverordnung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15 Absatz 3a des Arbeitszeitgesetzes, der durch Artikel 15 des Gesetzes vom 25. Juli 2012 (BGBl. I S. 1583) eingefügt worden ist, verordnet das Bundesministerium der Verteidigung im Einvernehmen mit dem Bundesministerium für Arbeit und Soziales:</w:t>
      </w:r>
    </w:p>
    <w:p>
      <w:r>
        <w:rPr>
          <w:color w:val="555555"/>
          <w:sz w:val="17"/>
        </w:rPr>
        <w:t xml:space="preserve">Zitiervorschlag: Eingangsformel SeeAZV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https://recht.nulegal.eu/gesetze/SeeAZV/eingangsformel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