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SeeAZV — Geltung des Arbeitszeitgesetzes</w:t>
      </w:r>
    </w:p>
    <w:p>
      <w:r>
        <w:rPr>
          <w:color w:val="555555"/>
          <w:sz w:val="18"/>
        </w:rPr>
        <w:t xml:space="preserve">See-Arbeitszeitverordnung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Übrigen gelten die Bestimmungen des Arbeitszeitgesetzes.</w:t>
      </w:r>
    </w:p>
    <w:p>
      <w:r>
        <w:rPr>
          <w:color w:val="555555"/>
          <w:sz w:val="17"/>
        </w:rPr>
        <w:t xml:space="preserve">Zitiervorschlag: § 10 SeeAZV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https://recht.nulegal.eu/gesetze/SeeAZV/10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