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See-BV — Inkrafttreten, Außerkrafttreten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Juni 2014 in Kraft.</w:t>
      </w:r>
    </w:p>
    <w:p>
      <w:r>
        <w:t xml:space="preserve">(2) Gleichzeitig treten außer Kraft</w:t>
      </w:r>
    </w:p>
    <w:p>
      <w:pPr>
        <w:ind w:left="420"/>
      </w:pPr>
      <w:r>
        <w:t xml:space="preserve">1. die Schiffsoffizier-Ausbildungsverordnung in der Fassung der Bekanntmachung vom 15. Januar 1992 (BGBl. I S. 22, 227), die zuletzt durch Artikel 29 Nummer 5 des Gesetzes vom 25. Juli 2013 (BGBl. I S. 2749) geändert worden ist,</w:t>
      </w:r>
    </w:p>
    <w:p>
      <w:pPr>
        <w:ind w:left="420"/>
      </w:pPr>
      <w:r>
        <w:t xml:space="preserve">2. die Seemannsamtsverordnung vom 21. Oktober 1981 (BGBl. I S. 1146), die zuletzt durch Artikel 4 der Verordnung vom 27. Oktober 2006 (BGBl. I S. 2403) geändert worden ist.</w:t>
      </w:r>
    </w:p>
    <w:p>
      <w:r>
        <w:rPr>
          <w:color w:val="555555"/>
          <w:sz w:val="17"/>
        </w:rPr>
        <w:t xml:space="preserve">Zitiervorschlag: § 66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