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See-BV — Übergangsbestimmungen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Berufe der Metall- oder Elektroindustrie, die vor dem 1. Juni 2014 zugelassen waren, erfüllen die Anforderungen an die Ausbildung in der Metallbearbeitung nach Anlage 6.</w:t>
      </w:r>
    </w:p>
    <w:p>
      <w:r>
        <w:t xml:space="preserve">(2) Soweit durch diese Rechtsverordnung die Gültigkeitsdauer von Befähigungszeugnissen und Befähigungsnachweisen zeitlich befristet ist, gilt diese Befristung mit dem Inkrafttreten dieser Verordnung gleichfalls für entsprechende Zeugnisse und Nachweise, die nach den bisher geltenden Vorschriften erteilt worden sind.</w:t>
      </w:r>
    </w:p>
    <w:p>
      <w:r>
        <w:t xml:space="preserve">(3) Inhaber eines Befähigungszeugnisses zum Schiffsführer NSF sowie Inhaber eines Sportküstenschifferscheins, die ein gültiges Seediensttauglichkeitszeugnis für den Decksdienst sowie ein beschränkt gültiges Funkbetriebszeugnis (SRC) nachweisen können, gelten bis zum Ablauf des 31. Dezember 2023 als befähigt im Sinne des § 30 Absatz 6.</w:t>
      </w:r>
    </w:p>
    <w:p>
      <w:r>
        <w:t xml:space="preserve">(4) Befähigungsnachweise über eine Grundausbildung oder Fortbildung für den Schiffsdienst auf Schiffen, die dem IGF-Code unterliegen, die vor dem Inkrafttreten der Ersten Verordnung zur Änderung der Seeleute-Befähigungsverordnung erteilt worden sind, sind bis längstens fünf Jahre nach Ausstellung gültig.</w:t>
      </w:r>
    </w:p>
    <w:p>
      <w:r>
        <w:rPr>
          <w:color w:val="555555"/>
          <w:sz w:val="17"/>
        </w:rPr>
        <w:t xml:space="preserve">Zitiervorschlag: § 64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