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See-BV — Verhältnis zu anderen Rechtsvorschriften</w:t>
      </w:r>
    </w:p>
    <w:p>
      <w:r>
        <w:rPr>
          <w:color w:val="555555"/>
          <w:sz w:val="18"/>
        </w:rPr>
        <w:t xml:space="preserve">Seeleute-Befähigungsverordnung</w:t>
      </w:r>
    </w:p>
    <w:p>
      <w:r>
        <w:rPr>
          <w:color w:val="555555"/>
          <w:sz w:val="18"/>
        </w:rPr>
        <w:t xml:space="preserve">Stand: 01.01.2025 (konsolidierte Textfassung, kein amtliches Inkrafttretensdatum)</w:t>
      </w:r>
    </w:p>
    <w:p>
      <w:r>
        <w:t xml:space="preserve">Zuständigkeiten und Befugnisse nach Maßgabe des Seefischereigesetzes und anderen Rechtsvorschriften zur Entziehung von Berechtigungen, Beschränkung von Berechtigungen oder Sicherstellung und Beschlagnahme der entsprechenden Urkunden bleiben durch die §§ 56 bis 59 unberührt.</w:t>
      </w:r>
    </w:p>
    <w:p>
      <w:r>
        <w:rPr>
          <w:color w:val="555555"/>
          <w:sz w:val="17"/>
        </w:rPr>
        <w:t xml:space="preserve">Zitiervorschlag: § 61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