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See-BV — Vollzug</w:t>
      </w:r>
    </w:p>
    <w:p>
      <w:r>
        <w:rPr>
          <w:color w:val="555555"/>
          <w:sz w:val="18"/>
        </w:rPr>
        <w:t xml:space="preserve">Seeleute-Befähigungsverordnung</w:t>
      </w:r>
    </w:p>
    <w:p>
      <w:r>
        <w:rPr>
          <w:color w:val="555555"/>
          <w:sz w:val="18"/>
        </w:rPr>
        <w:t xml:space="preserve">Stand: 10.06.2019 (konsolidierte Textfassung, kein amtliches Inkrafttretensdatum)</w:t>
      </w:r>
    </w:p>
    <w:p>
      <w:r>
        <w:t xml:space="preserve">Das Bundesamt kann auf Antrag des Zeugnisinhabers einen späteren Beginn des Entzugs oder des Ruhens anordnen. Der spätere Zeitpunkt darf nicht mehr als vier Wochen von dem ursprünglich angeordneten Zeitpunkt abweichen.</w:t>
      </w:r>
    </w:p>
    <w:p>
      <w:r>
        <w:rPr>
          <w:color w:val="555555"/>
          <w:sz w:val="17"/>
        </w:rPr>
        <w:t xml:space="preserve">Zitiervorschlag: § 58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