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See-BV — Ruhen von Befähigungszeugnissen</w:t>
      </w:r>
    </w:p>
    <w:p>
      <w:r>
        <w:rPr>
          <w:color w:val="555555"/>
          <w:sz w:val="18"/>
        </w:rPr>
        <w:t xml:space="preserve">Seeleute-Befähigungsverordnung</w:t>
      </w:r>
    </w:p>
    <w:p>
      <w:r>
        <w:rPr>
          <w:color w:val="555555"/>
          <w:sz w:val="18"/>
        </w:rPr>
        <w:t xml:space="preserve">Stand: 10.06.2019 (konsolidierte Textfassung, kein amtliches Inkrafttretensdatum)</w:t>
      </w:r>
    </w:p>
    <w:p>
      <w:r>
        <w:t xml:space="preserve">(1) Das Bundesamt kann für eine bestimmte Zeit das Ruhen eines Befähigungszeugnisses anordnen, wenn bei dem Inhaber die Voraussetzungen für eine Entziehung noch nicht vorliegen, aber Zweifel an seiner Zuverlässigkeit bestehen. Werden diese Zweifel vor Ablauf der angeordneten Zeit ausgeräumt, ist die Anordnung aufzuheben. Solange und soweit das Ruhen des Befähigungszeugnisses angeordnet ist, darf der Inhaber von der dem Befähigungszeugnis zugrunde liegenden Erlaubnis keinen Gebrauch machen.</w:t>
      </w:r>
    </w:p>
    <w:p>
      <w:r>
        <w:t xml:space="preserve">(2) Zweifel an der Zuverlässigkeit bestehen in der Regel, wenn der Inhaber eines Befähigungszeugnisses im Schiffsverkehr unter dem Einfluss der Wirkung alkoholischer Getränke oder anderer berauschender Mittel nicht in der Lage war oder ist, das Schiff sicher zu führen oder als Mitglied der Schiffsbesatzung eine andere Tätigkeit des Brücken-, Decks- oder Maschinendienstes auszuüben.</w:t>
      </w:r>
    </w:p>
    <w:p>
      <w:r>
        <w:t xml:space="preserve">(3) Von dem Ruhen des Befähigungszeugnisses können in besonders begründeten Einzelfällen bestimmte Arten von Schiffen oder bestimmte Seeschifffahrtsstraßen ausgenommen werden.</w:t>
      </w:r>
    </w:p>
    <w:p>
      <w:r>
        <w:t xml:space="preserve">(4) Der Inhaber eines Befähigungszeugnisses im Sinne dieser Verordnung hat das Befähigungszeugnis spätestens mit der Vollziehbarkeit der Anordnung dem Bundesamt zur amtlichen Verwahrung zu übergeben. Inhaber eines anderen Befähigungszeugnisses haben dieses spätestens mit der Vollziehbarkeit der Anordnung dem Bundesamt zu übergeben, damit die Anordnung des Ruhens des Befähigungszeugnisses darin vermerkt werden kann. Nach Ablauf der angeordneten Frist oder im Falle der vorzeitigen Aufhebung der Anordnung ist dies im Befähigungszeugnis kenntlich zu machen und das Befähigungszeugnis dem Inhaber oder einer durch eine schriftliche Vollmacht ausgewiesene Person zurückzugeben.</w:t>
      </w:r>
    </w:p>
    <w:p>
      <w:r>
        <w:t xml:space="preserve">(5) Soweit ein Vermerk über die Anerkennung eines ausländischen Befähigungszeugnisses erteilt worden ist, ist Absatz 4 Satz 1 entsprechend anwendbar.</w:t>
      </w:r>
    </w:p>
    <w:p>
      <w:r>
        <w:rPr>
          <w:color w:val="555555"/>
          <w:sz w:val="17"/>
        </w:rPr>
        <w:t xml:space="preserve">Zitiervorschlag: § 57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