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See-BV — Entzug von Befähigungszeugnissen</w:t>
      </w:r>
    </w:p>
    <w:p>
      <w:r>
        <w:rPr>
          <w:color w:val="555555"/>
          <w:sz w:val="18"/>
        </w:rPr>
        <w:t xml:space="preserve">Seeleute-Befähigungsverordnung</w:t>
      </w:r>
    </w:p>
    <w:p>
      <w:r>
        <w:rPr>
          <w:color w:val="555555"/>
          <w:sz w:val="18"/>
        </w:rPr>
        <w:t xml:space="preserve">Stand: 24.08.2021 (konsolidierte Textfassung, kein amtliches Inkrafttretensdatum)</w:t>
      </w:r>
    </w:p>
    <w:p>
      <w:r>
        <w:t xml:space="preserve">(1) Ein Befähigungszeugnis ist zu entziehen, wenn der Inhaber unzuverlässig im Sinne des § 7 oder seedienstuntauglich ist.</w:t>
      </w:r>
    </w:p>
    <w:p>
      <w:r>
        <w:t xml:space="preserve">(2) Das Bundesamt kann in den Fällen des Absatzes 1 Fristen und Bedingungen für die Erteilung eines neuen Befähigungszeugnisses niedrigerer, gleicher oder höherer Ordnung festlegen.</w:t>
      </w:r>
    </w:p>
    <w:p>
      <w:r>
        <w:t xml:space="preserve">(3) Die Schifffahrtspolizeibehörden haben dem Bundesamt unverzüglich alle Tatsachen mitzuteilen, die für die Prüfung der Voraussetzungen für eine Entziehung erforderlich sind.</w:t>
      </w:r>
    </w:p>
    <w:p>
      <w:r>
        <w:t xml:space="preserve">(4) Die dem Befähigungszeugnis zugrunde liegende Erlaubnis erlischt mit der Entziehung. Das Bundesamt kann anordnen, dass das Befähigungszeugnis nach der Entziehung unverzüglich dem Bundesamt zu übergeben ist. Satz 2 gilt auch dann, wenn der sofortige Vollzug der Entziehung angeordnet wurde.</w:t>
      </w:r>
    </w:p>
    <w:p>
      <w:r>
        <w:t xml:space="preserve">(5) Bei einem ausländischen Befähigungszeugnis hat die Entziehung die Wirkung einer Aberkennung des Rechts, von dem Befähigungszeugnis im Inland Gebrauch zu machen. Absatz 4 Satz 2 bis 4 gelten entsprechend mit der Maßgabe, dass eine Vorlage beim Bundesamt erfolgt, damit die Anordnung nach Satz 1 im Seeleute-Befähigungs-Verzeichnis für die Dauer der Anordnung gespeichert werden kann.</w:t>
      </w:r>
    </w:p>
    <w:p>
      <w:r>
        <w:t xml:space="preserve">(6) Die Entziehung oder die Feststellung der fehlenden Fahrberechtigung nach Absatz 5 ist dem Inhaber und der zuständigen Stelle, die das ausländische Befähigungszeugnis erteilt hat, schriftlich mitzuteilen.</w:t>
      </w:r>
    </w:p>
    <w:p>
      <w:r>
        <w:t xml:space="preserve">(7) Die Absätze 1 bis 6 gelten entsprechend für den Entzug von Vermerken über die Anerkennung ausländischer Befähigungszeugnisse.</w:t>
      </w:r>
    </w:p>
    <w:p>
      <w:r>
        <w:rPr>
          <w:color w:val="555555"/>
          <w:sz w:val="17"/>
        </w:rPr>
        <w:t xml:space="preserve">Zitiervorschlag: § 56 See-BV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https://recht.nulegal.eu/gesetze/See-BV/56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