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See-BV — Voraussetzungen für den Erwerb der Befähigungsnachweise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24.08.2021 (konsolidierte Textfassung, kein amtliches Inkrafttretensdatum)</w:t>
      </w:r>
    </w:p>
    <w:p>
      <w:r>
        <w:t xml:space="preserve">(1) Für den Erwerb des Befähigungsnachweises Wachbefähigung Maschine TWB hat der Bewerber nachzuweisen</w:t>
      </w:r>
    </w:p>
    <w:p>
      <w:pPr>
        <w:ind w:left="420"/>
      </w:pPr>
      <w:r>
        <w:t xml:space="preserve">1. eine</w:t>
      </w:r>
    </w:p>
    <w:p>
      <w:pPr>
        <w:ind w:left="780"/>
      </w:pPr>
      <w:r>
        <w:t xml:space="preserve">a) Seefahrtzeit von mindestens sechs Monaten und eine Ausbildung in der Metallbearbeitung nach Anlage 6 von mindestens sieben Wochen oder den Besitz des Zeugnisses über die Abschlussprüfung in einem nach § 3 Absatz 5 Satz 1 Nummer 1 anerkannten Ausbildungsberuf der Metall- oder Elektrotechnik, der eine Ausbildung in der Metallbearbeitung nach Anlage 6 von mindestens sieben Wochen sowie eine Vertiefung der Fachkunde durch die praktische Anwendung der Ausbildungsinhalte während der Dauer der Berufsausbildung beinhaltet, oder</w:t>
      </w:r>
    </w:p>
    <w:p>
      <w:pPr>
        <w:ind w:left="780"/>
      </w:pPr>
      <w:r>
        <w:t xml:space="preserve">b) Seefahrtzeit von mindestens zwei Monaten zusätzlich zu einer besonderen Ausbildung oder einem zugelassenen Lehrgang, die eine Ausbildung in der Metallbearbeitung nach Anlage 6 von mindestens sieben Wochen beinhalten, und</w:t>
      </w:r>
    </w:p>
    <w:p>
      <w:pPr>
        <w:ind w:left="420"/>
      </w:pPr>
      <w:r>
        <w:t xml:space="preserve">2. die Befähigung nach Abschnitt A-III/4 des STCW-Codes.</w:t>
      </w:r>
    </w:p>
    <w:p>
      <w:r>
        <w:t xml:space="preserve">Die Seefahrtzeit und Ausbildung nach Satz 1 müssen sich auf die Aufgaben im Maschinenwachdienst beziehen und unter der unmittelbaren Aufsicht eines Technischen Offiziers oder eines anderen nach diesem Abschnitt befähigten Besatzungsmitgliedes, ausgeführt werden. In Fällen von Satz 1 Nummer 1 Buchstabe a erfolgt der Nachweis der Befähigung nach Satz 1 Nummer 2 durch eine Prüfung auf Antrag durch das Bundesamt entsprechend Anlage 4. Das Bundesamt kann bei der Durchführung der Prüfung die Berufsbildungsstelle Seeschifffahrt e. V. beteiligen.</w:t>
      </w:r>
    </w:p>
    <w:p>
      <w:r>
        <w:t xml:space="preserve">(2) Für den Erwerb eines Befähigungsnachweises zum Vollmatrosen im Maschinenbereich TVM hat der Bewerber nachzuweisen</w:t>
      </w:r>
    </w:p>
    <w:p>
      <w:pPr>
        <w:ind w:left="420"/>
      </w:pPr>
      <w:r>
        <w:t xml:space="preserve">1. einen vor dem 1. Juni 2014 nach deutschem Recht ausgestellten Matrosenbrief, das Vorliegen der Voraussetzungen nach § 38 Absatz 3 Nummer 1 oder</w:t>
      </w:r>
    </w:p>
    <w:p>
      <w:pPr>
        <w:ind w:left="420"/>
      </w:pPr>
      <w:r>
        <w:t xml:space="preserve">2. den Abschluss einer Ausbildung nach den Anforderungen des Abschnitts A-III/5 des STCW-Codes zum Schiffsbetriebstechnischen Assistenten-Technik an einer nach Landesrecht eingerichteten Ausbildungsstätte und eine vom Bundesamt zugelassene praktische Ausbildung und Seefahrtzeit im Maschinenbereich auf Unterstützungsebene von mindestens zwei Wochen.</w:t>
      </w:r>
    </w:p>
    <w:p>
      <w:r>
        <w:rPr>
          <w:color w:val="555555"/>
          <w:sz w:val="17"/>
        </w:rPr>
        <w:t xml:space="preserve">Zitiervorschlag: § 40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