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See-BV — Anforderungen an Seefahrtzeiten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Seefahrtzeiten im Sinne dieses Teils sind auf Kauffahrteischiffen mit einer Antriebsleistung von 750 Kilowatt oder mehr abzuleisten.</w:t>
      </w:r>
    </w:p>
    <w:p>
      <w:r>
        <w:t xml:space="preserve">(2) Absatz 1 gilt nicht für Bewerber für das Befähigungszeugnis nach § 38 Absatz 2.</w:t>
      </w:r>
    </w:p>
    <w:p>
      <w:r>
        <w:t xml:space="preserve">(3) Absatz 1 gilt für den Nachweis des Fortbestandes der Befähigung nach § 53 entsprechend.</w:t>
      </w:r>
    </w:p>
    <w:p>
      <w:r>
        <w:rPr>
          <w:color w:val="555555"/>
          <w:sz w:val="17"/>
        </w:rPr>
        <w:t xml:space="preserve">Zitiervorschlag: § 37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