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See-BV — Anforderungen an Seefahrtzeiten</w:t>
      </w:r>
    </w:p>
    <w:p>
      <w:r>
        <w:rPr>
          <w:color w:val="555555"/>
          <w:sz w:val="18"/>
        </w:rPr>
        <w:t xml:space="preserve">Seeleute-Befähigungsverordnung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Seefahrtzeiten im Sinne dieses Abschnittes müssen auf Fischereifahrzeugen von mindestens zwölf Metern Länge abgeleistet werden. Satz 1 gilt nicht für den Erwerb des Befähigungszeugnisses zum Kapitän BKü.</w:t>
      </w:r>
    </w:p>
    <w:p>
      <w:r>
        <w:rPr>
          <w:color w:val="555555"/>
          <w:sz w:val="17"/>
        </w:rPr>
        <w:t xml:space="preserve">Zitiervorschlag: § 32 See-BV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https://recht.nulegal.eu/gesetze/See-BV/32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