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See-BV — Anforderungen an Seefahrtzeiten</w:t>
      </w:r>
    </w:p>
    <w:p>
      <w:r>
        <w:rPr>
          <w:color w:val="555555"/>
          <w:sz w:val="18"/>
        </w:rPr>
        <w:t xml:space="preserve">Seeleute-Befähigungsverordnung</w:t>
      </w:r>
    </w:p>
    <w:p>
      <w:r>
        <w:rPr>
          <w:color w:val="555555"/>
          <w:sz w:val="18"/>
        </w:rPr>
        <w:t xml:space="preserve">Stand: 24.08.2021 (konsolidierte Textfassung, kein amtliches Inkrafttretensdatum)</w:t>
      </w:r>
    </w:p>
    <w:p>
      <w:r>
        <w:t xml:space="preserve">(1) Seefahrtzeiten sind für den Erwerb der Befähigungszeugnisse nach § 29 Absatz 1 auf Kauffahrteischiffen mit einer Bruttoraumzahl von 500 oder mehr oder auf Kauffahrteischiffen außerhalb der küstennahen Fahrt abzuleisten.</w:t>
      </w:r>
    </w:p>
    <w:p>
      <w:r>
        <w:t xml:space="preserve">(2) Seefahrtzeiten für den Erwerb eines Befähigungszeugnisses nach § 29 Absatz 2 sind auf Kauffahrteischiffen mit einer Bruttoraumzahl von 100 oder mehr oder auf Kauffahrteischiffen in der küstennahen Fahrt ab sechs Seemeilen von der deutschen Küste entfernt, oder auf Kauffahrteischiffen, die für die Beförderung von mehr als 12 Fahrgästen zugelassen sind, abzuleisten.</w:t>
      </w:r>
    </w:p>
    <w:p>
      <w:r>
        <w:t xml:space="preserve">(3) Seefahrtzeiten für den Erwerb eines Befähigungszeugnisses nach § 29 Absatz 3 sind auf Kauffahrteischiffen abzuleisten.</w:t>
      </w:r>
    </w:p>
    <w:p>
      <w:r>
        <w:t xml:space="preserve">(4) Seefahrtzeiten nach Absatz 1 und 2 dürfen nicht auf Fischereifahrzeugen abgeleistet werden.</w:t>
      </w:r>
    </w:p>
    <w:p>
      <w:r>
        <w:t xml:space="preserve">(5) Die Absätze 1 bis 4 gelten für den Nachweis des Fortbestandes der beruflichen Befähigung nach § 53 entsprechend.</w:t>
      </w:r>
    </w:p>
    <w:p>
      <w:r>
        <w:rPr>
          <w:color w:val="555555"/>
          <w:sz w:val="17"/>
        </w:rPr>
        <w:t xml:space="preserve">Zitiervorschlag: § 28 See-BV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