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See-BV — Befähigungszeugnisse und Befähigungsnachweise anderer Mitgliedstaaten der Europäischen Union oder anderer Vertragsstaaten des Abkommens über den Europäischen Wirtschaftsraum</w:t>
      </w:r>
    </w:p>
    <w:p>
      <w:r>
        <w:rPr>
          <w:color w:val="555555"/>
          <w:sz w:val="18"/>
        </w:rPr>
        <w:t xml:space="preserve">Seeleute-Befähigungsverordnung</w:t>
      </w:r>
    </w:p>
    <w:p>
      <w:r>
        <w:rPr>
          <w:color w:val="555555"/>
          <w:sz w:val="18"/>
        </w:rPr>
        <w:t xml:space="preserve">Stand: 20.04.2024 (konsolidierte Textfassung, kein amtliches Inkrafttretensdatum)</w:t>
      </w:r>
    </w:p>
    <w:p>
      <w:r>
        <w:t xml:space="preserve">(1) Ein Befähigungszeugnis im Sinne des Artikels 4 der Richtlinie (EU) 2022/993 des Europäischen Parlaments und des Rates vom 8. Juni 2022 über Mindestanforderungen für die Ausbildung von Seeleuten (ABl. L 169 vom 27.6.2022, S. 45) eines anderen Mitgliedstaates der Europäischen Union oder eines Vertragsstaates des Abkommens über den Europäischen Wirtschaftsraum wird auf Antrag vom Bundesamt anerkannt. Satz 1 gilt auch für Befähigungsnachweise zum Kapitän oder Schiffsoffizier auf Tankschiffen nach den Abschnitten A-V/1-1 und A-V/1-2 des STCW-Codes.</w:t>
      </w:r>
    </w:p>
    <w:p>
      <w:r>
        <w:t xml:space="preserve">(2) Die Anerkennung erfolgt unverzüglich nach Antragstellung durch das Erteilen eines Vermerkes entsprechend den Anforderungen des Abschnittes A-I/2 Absatz 3 des STCW-Codes. Die Anerkennung beschränkt sich auf die im zur Anerkennung vorgelegten Befähigungszeugnis ausgewiesenen Funktionen, Dienststellungen und Verantwortungsebenen. Einschränkungen, die im vorgelegten Befähigungszeugnis enthalten sind, sind nach Maßgabe des STCW-Übereinkommens beizubehalten.</w:t>
      </w:r>
    </w:p>
    <w:p>
      <w:r>
        <w:t xml:space="preserve">(3) Handelt es sich um ein Befähigungszeugnis mit Funktionen auf der Führungsebene, muss der Bewerber um den Vermerk angemessene Kenntnisse des deutschen Seeschifffahrtsrechts durch die erfolgreiche Teilnahme an einem zugelassenen Lehrgang nachweisen. Liegt der geforderte Kenntnisnachweis bei Antragstellung noch nicht vor, kann einmalig ein auf längstens drei Monate befristeter Anerkennungsvermerk erteilt werden.</w:t>
      </w:r>
    </w:p>
    <w:p>
      <w:r>
        <w:t xml:space="preserve">(4) Der Vermerk ist entsprechend § 8 zu befristen. Die Gültigkeitsdauer darf jedoch die Dauer der Gültigkeit des zur Anerkennung vorgelegten Befähigungszeugnisses nicht überschreiten.</w:t>
      </w:r>
    </w:p>
    <w:p>
      <w:r>
        <w:t xml:space="preserve">(5) Das Bundesamt kann andere als die in Absatz 1 bezeichneten Befähigungszeugnisse und berufliche Bescheinigungen für den Schiffsdienst eines anderen Mitgliedstaates der Europäischen Union oder Vertragsstaates des Abkommens über den Europäischen Wirtschaftsraum auf Antrag anerkennen oder Gleichwertigkeitsbescheinigungen ausstellen, wenn nachgewiesen wird, dass der Inhaber des Befähigungszeugnisses über gleichwertige Kenntnisse verfügt, wie sie von dem Inhaber einer vergleichbaren deutschen seemännischen Qualifikation verlangt werden. Ein Anpassungslehrgang oder angemessene berufliche Erfahrungen können im Einzelfall verlangt werden.</w:t>
      </w:r>
    </w:p>
    <w:p>
      <w:r>
        <w:rPr>
          <w:color w:val="555555"/>
          <w:sz w:val="17"/>
        </w:rPr>
        <w:t xml:space="preserve">Zitiervorschlag: § 20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