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See-BV — Begriffsbestimmungen</w:t>
      </w:r>
    </w:p>
    <w:p>
      <w:r>
        <w:rPr>
          <w:color w:val="555555"/>
          <w:sz w:val="18"/>
        </w:rPr>
        <w:t xml:space="preserve">Seeleute-Befähigungsverordnung</w:t>
      </w:r>
    </w:p>
    <w:p>
      <w:r>
        <w:rPr>
          <w:color w:val="555555"/>
          <w:sz w:val="18"/>
        </w:rPr>
        <w:t xml:space="preserve">Stand: 01.07.2024 (konsolidierte Textfassung, kein amtliches Inkrafttretensdatum)</w:t>
      </w:r>
    </w:p>
    <w:p>
      <w:r>
        <w:t xml:space="preserve">(1) „STCW-Übereinkommen“ bedeutet das Internationale Übereinkommen vom 7. Juli 1978 über Normen für die Ausbildung, die Erteilung von Befähigungszeugnissen und den Wachdienst von Seeleuten (BGBl. 1982 II S. 297, 298) in der jeweils geltenden Fassung.</w:t>
      </w:r>
    </w:p>
    <w:p>
      <w:r>
        <w:t xml:space="preserve">(2) „STCW-Code“ bedeutet die mit Entschließung 2 zur Schlussakte der Konferenz der Mitgliedstaaten der Internationalen Seeschifffahrts-Organisation am 7. Juli 1995 angenommenen Änderungen der Anlage zum STCW-Übereinkommen (BGBl. 1997 II S. 1118) in der jeweils geltenden Fassung.</w:t>
      </w:r>
    </w:p>
    <w:p>
      <w:r>
        <w:t xml:space="preserve">(3) „IGF-Code“ bedeutet der Internationale Code für die Sicherheit von Schiffen, die Gase oder andere Brennstoffe mit niedrigem Flammpunkt verwenden (VkBl. 2016 S. 655, Sonderband C 8151), nach der Begriffsbestimmung in der Regel II-1.2.28 des Internationalen Übereinkommens von 1974 zum Schutz des menschlichen Lebens auf See mit Anlage und Anhang sowie Protokolle von 1978 und 1988 zu diesem Übereinkommen (SOLAS) (BGBl. 1979 II S. 141; 1980 II S. 525; 1983 II S. 784; 1994 II S. 2458 sowie Anlageband zum BGBl. II Nr. 44 vom 27. September 1994, S. 43) in der jeweils geltenden Fassung.</w:t>
      </w:r>
    </w:p>
    <w:p>
      <w:r>
        <w:t xml:space="preserve">(4) „Polar-Code“ bedeutet der Internationale Code für Schiffe, die in Polargewässern verkehren, nach den Begriffsbestimmungen in SOLAS-Regel XIV/1.1; „Polargewässer“ bedeutet arktische Gewässer und/oder das Antarktisgebiet nach den Begriffsbestimmungen in den SOLAS-Regeln XIV/1.2 bis XIV1.4 (VkBl. 2015 S. 843, Sonderband C 8146) in der jeweils geltenden Fassung.</w:t>
      </w:r>
    </w:p>
    <w:p>
      <w:r>
        <w:t xml:space="preserve">(5) „ISPS-Code“ bedeutet der am 12. Dezember 2020 durch die Entschließung 2 der Konferenz der Vertragsregierungen des Internationalen Übereinkommens von 1974 zum Schutz des menschlichen Lebens auf See (SOLAS) beschlossene Internationale Code für die Gefahrenabwehr auf Schiffen und in Hafenanlagen (BGBl. 2003 II S. 2018) in der jeweils geltenden Fassung.</w:t>
      </w:r>
    </w:p>
    <w:p>
      <w:r>
        <w:t xml:space="preserve">(6) Im Sinne dieser Verordnung bedeutet der Ausdruck</w:t>
      </w:r>
    </w:p>
    <w:p>
      <w:pPr>
        <w:ind w:left="420"/>
      </w:pPr>
      <w:r>
        <w:t xml:space="preserve">1. „Bundesamt“ das Bundesamt für Seeschifffahrt und Hydrographie,</w:t>
      </w:r>
    </w:p>
    <w:p>
      <w:pPr>
        <w:ind w:left="420"/>
      </w:pPr>
      <w:r>
        <w:t xml:space="preserve">2. „Berufsgenossenschaft“ die Berufsgenossenschaft Verkehrswirtschaft, Post-Logistik Telekommunikation,</w:t>
      </w:r>
    </w:p>
    <w:p>
      <w:pPr>
        <w:ind w:left="420"/>
      </w:pPr>
      <w:r>
        <w:t xml:space="preserve">3. „Befähigungszeugnis“ die von einer zuständigen Behörde einer Vertragspartei des STCW-Übereinkommens und im Falle des nautischen Schiffsdienstes auf Fischereifahrzeugen und des technischen Schiffsdienstes auf Schiffen mit weniger als 750 Kilowatt Antriebsleistung von einer sonstigen zuständigen Stelle erteilte amtliche Bescheinigung für Kapitäne, Schiffsoffiziere und GMDSS-Funker, in der die vom Inhaber der Bescheinigung wahrnehmbaren Befugnisse, Funktionen und Verantwortungsebenen einschließlich Einschränkungen eingetragen sind, und den Inhaber dazu berechtigt, in der in der Bescheinigung bezeichneten Dienststellung Schiffsdienst zu verrichten und die Funktionen auszuüben, die der darin bezeichneten Verantwortungsebene entsprechen,</w:t>
      </w:r>
    </w:p>
    <w:p>
      <w:pPr>
        <w:ind w:left="420"/>
      </w:pPr>
      <w:r>
        <w:t xml:space="preserve">4. „Befähigungsnachweis“ das von einer zuständigen Stelle einer Vertragspartei des STCW-Übereinkommens erteilte Fachkundezeugnis für Seeleute, in dem die vom Inhaber des Fachkundezeugnisses wahrnehmbaren Befugnisse, Funktionen, Verantwortungsebenen einschließlich Einschränkungen eingetragen sind,</w:t>
      </w:r>
    </w:p>
    <w:p>
      <w:pPr>
        <w:ind w:left="420"/>
      </w:pPr>
      <w:r>
        <w:t xml:space="preserve">5. „Qualifikationsnachweis“ der schriftliche Nachweis nach § 51, der weder ein Befähigungszeugnis noch einen Befähigungsnachweis darstellt, der jedoch dazu verwendet wird, nachzuweisen, dass die für den jeweiligen Qualifikationsnachweis maßgeblichen Vorschriften des STCW-Übereinkommens erfüllt werden,</w:t>
      </w:r>
    </w:p>
    <w:p>
      <w:pPr>
        <w:ind w:left="420"/>
      </w:pPr>
      <w:r>
        <w:t xml:space="preserve">6. „Anerkennungsvermerk“ ein vom Bundesamt erteilter Vermerk, der dazu dient, ein im Ausland erworbenes Befähigungszeugnis zum Kapitän, Schiffsoffizier oder GMDSS-Funker oder einen Befähigungsnachweis für den Schiffsdienst auf Tankschiffen für den Dienst auf Schiffen, die die Bundesflagge führen, anzuerkennen,</w:t>
      </w:r>
    </w:p>
    <w:p>
      <w:pPr>
        <w:ind w:left="420"/>
      </w:pPr>
      <w:r>
        <w:t xml:space="preserve">7. „Gleichwertigkeitsbescheinigung“ eine vom Bundesamt erteilte Bescheinigung, die dazu verwendet wird, eine im Ausland erworbene Bescheinigung über eine nicht dem STCW-Übereinkommen unterliegende Befähigung für den Dienst auf Schiffen, die die Bundesflagge führen, anzuerkennen,</w:t>
      </w:r>
    </w:p>
    <w:p>
      <w:pPr>
        <w:ind w:left="420"/>
      </w:pPr>
      <w:r>
        <w:t xml:space="preserve">8. „Bescheinigungen“ Befähigungszeugnisse, Befähigungsnachweise, Qualifikationsnachweise, Anerkennungsvermerke, Gleichwertigkeitsbescheinigungen, Ausnahmegenehmigungen und sonstige Dokumente, die nach Maßgabe dieser Verordnung erteilt werden,</w:t>
      </w:r>
    </w:p>
    <w:p>
      <w:pPr>
        <w:ind w:left="420"/>
      </w:pPr>
      <w:r>
        <w:t xml:space="preserve">9. „Führungsebene“ die Verantwortungsebene, zu der typischerweise gehört, dass Besatzungsmitglieder als Kapitän, Erster Offizier, Leiter der Maschinenanlage oder Zweiter technischer Offizier Schiffsdienst verrichten und sicherstellen, dass alle Funktionen innerhalb des zugewiesenen Verantwortungsbereichs sachgerecht wahrgenommen werden,</w:t>
      </w:r>
    </w:p>
    <w:p>
      <w:pPr>
        <w:ind w:left="420"/>
      </w:pPr>
      <w:r>
        <w:t xml:space="preserve">10. „Betriebsebene“ die Verantwortungsebene, zu der typischerweise gehört, dass Besatzungsmitglieder als Nautischer oder Technischer Wachoffizier, Elektrotechnischer Schiffsoffizier, Technischer Offizier im Bereitschaftsdienst in einem zeitweise unbesetzten Maschinenraum, GMDSS-Funker oder Schiffsarzt Schiffsdienst verrichten und in Übereinstimmung mit sachgerechten Verfahren und nach Maßgabe einer Person aus der Führungsebene für den betreffenden Verantwortungsbereich unmittelbaren Einfluss auf die Wahrnehmung aller Funktionen innerhalb des zugewiesenen Verantwortungsbereichs ausüben,</w:t>
      </w:r>
    </w:p>
    <w:p>
      <w:pPr>
        <w:ind w:left="420"/>
      </w:pPr>
      <w:r>
        <w:t xml:space="preserve">11. „Unterstützungsebene“ die Verantwortungsebene, zu der typischerweise gehört, dass Besatzungsmitglieder nach Weisung des Kapitäns oder eines Schiffsoffiziers zugewiesene Aufgaben, Pflichten und Verantwortung wahrnehmen,</w:t>
      </w:r>
    </w:p>
    <w:p>
      <w:pPr>
        <w:ind w:left="420"/>
      </w:pPr>
      <w:r>
        <w:t xml:space="preserve">12. „Ausbildungsberichtsheft“ ein vom Bundesamt herausgegebener oder zugelassener Tätigkeitsnachweis zur Bescheinigung einer praktischen Ausbildung und Seefahrtzeit,</w:t>
      </w:r>
    </w:p>
    <w:p>
      <w:pPr>
        <w:ind w:left="420"/>
      </w:pPr>
      <w:r>
        <w:t xml:space="preserve">13. „Monat“ einen Kalendermonat oder, soweit es sich um mehrere Zeiträume von jeweils weniger als einem Kalendermonat handelt, ein zusammengesetzter Zeitraum von 30 Tagen,</w:t>
      </w:r>
    </w:p>
    <w:p>
      <w:pPr>
        <w:ind w:left="420"/>
      </w:pPr>
      <w:r>
        <w:t xml:space="preserve">14. „nationale Fahrt“ die Fahrt von deutschen Häfen nach deutschen Häfen,</w:t>
      </w:r>
    </w:p>
    <w:p>
      <w:pPr>
        <w:ind w:left="420"/>
      </w:pPr>
      <w:r>
        <w:t xml:space="preserve">15. „küstennahe Fahrt“ die Fahrt, während der Häfen 0in Deutschland, im europäischen Teil des Königreichs der Niederlande, im Königreich Dänemark mit Ausnahme der Färöer und Grönlands sowie Häfen der Republik Polen angelaufen werden,</w:t>
      </w:r>
    </w:p>
    <w:p>
      <w:pPr>
        <w:ind w:left="420"/>
      </w:pPr>
      <w:r>
        <w:t xml:space="preserve">16. „Fischereifahrzeug“ ein Kauffahrteischiff, das für den Fang von Fischen oder anderen Lebewesen des Meeres verwendet wird,</w:t>
      </w:r>
    </w:p>
    <w:p>
      <w:pPr>
        <w:ind w:left="420"/>
      </w:pPr>
      <w:r>
        <w:t xml:space="preserve">17. „Küstenfischerei“ die Fischerei, die betrieben wird auf Fangreisen in einem Abstand von nicht mehr als 35 Seemeilen von der Küste der Bundesrepublik Deutschland oder in einem Abstand von nicht mehr als 30 Seemeilen von der Küste der benachbarten Küstenländer,</w:t>
      </w:r>
    </w:p>
    <w:p>
      <w:pPr>
        <w:ind w:left="420"/>
      </w:pPr>
      <w:r>
        <w:t xml:space="preserve">18. „Kleine Hochseefischerei“ die Fischerei, die in der Ostsee, in der Nordsee und in dem Gebiet betrieben wird, das begrenzt wird im Norden durch den Breitenparallel 63° Nord von der norwegischen Küste bis zum Meridian 10° West, von dort nach Süden bis 60 Seemeilen nördlich der irischen Küste, weiter in einem Abstand von 60 Seemeilen an der irischen Westküste entlang bis 50° 30' Nord und 10° West und von dort in gerader Linie zum Leuchtturm von Creach (Ushant) auf der Insel Ouessant,</w:t>
      </w:r>
    </w:p>
    <w:p>
      <w:pPr>
        <w:ind w:left="420"/>
      </w:pPr>
      <w:r>
        <w:t xml:space="preserve">19. „Große Hochseefischerei“ die Fischerei, die außerhalb der Grenzen der Kleinen Hochseefischerei betrieben wird,</w:t>
      </w:r>
    </w:p>
    <w:p>
      <w:pPr>
        <w:ind w:left="420"/>
      </w:pPr>
      <w:r>
        <w:t xml:space="preserve">20. „Länge“ 96 vom Hundert der Gesamtlänge in einer Wasserlinie in Höhe von 85 vom Hundert der geringsten Seitenhöhe über Oberkante Kiel, von der Kiellinie gemessen, oder, wenn der folgende Wert größer ist, die Länge von der Vorkante des Vorstevens bis zur Drehachse des Ruderschafts in dieser Wasserlinie.</w:t>
      </w:r>
    </w:p>
    <w:p>
      <w:pPr>
        <w:ind w:left="420"/>
      </w:pPr>
      <w:r>
        <w:t xml:space="preserve">21. „Berufseingangsprüfung“ die Feststellung, ob ein Bewerber um eine Bescheinigung über die jeweils vorgeschriebenen Befähigungen, Kenntnisse, das Verständnis und die Fachkunde verfügt und in der Lage ist, diese an Bord von Kauffahrteischiffen sicher anzuwenden,</w:t>
      </w:r>
    </w:p>
    <w:p>
      <w:pPr>
        <w:ind w:left="420"/>
      </w:pPr>
      <w:r>
        <w:t xml:space="preserve">22. „berufsrechtliche Akkreditierung“ das Verfahren zur und über die Feststellung über die Einhaltung der berufsrechtlichen Anforderungen an den nach Landesrecht eingerichteten Hochschulen nach dem STCW-Übereinkommen,</w:t>
      </w:r>
    </w:p>
    <w:p>
      <w:pPr>
        <w:ind w:left="420"/>
      </w:pPr>
      <w:r>
        <w:t xml:space="preserve">23. „gültig“ im Falle unbefristet ausgestellter Bescheinigungen den Fortbestand der Befähigung aufrechterhaltend und</w:t>
      </w:r>
    </w:p>
    <w:p>
      <w:pPr>
        <w:ind w:left="420"/>
      </w:pPr>
      <w:r>
        <w:t xml:space="preserve">24. „Antriebsleistung“ die in Kilowatt ausgedrückte höchste Gesamtdauerleistung aller Hauptantriebsmaschinen des Schiffes, die im Schiffszertifikat oder in einem anderen amtlichen Dokument ausgewiesen ist.</w:t>
      </w:r>
    </w:p>
    <w:p>
      <w:r>
        <w:t xml:space="preserve">Im Falle des Satzes 1 Nummer 20 verläuft bei Fahrzeugen, die mit Kielfall entworfen sind, die Wasserlinie, in der diese Länge gemessen wird, parallel zur Konstruktionswasserlinie. Die Berufseingangsprüfung nach Satz 1 Nummer 21 hat in Form von Prüfungsleistungen und einer praktischen Abschlussprüfung zu erfolgen. Die praktische Abschlussprüfung hat zum Ende eines berufsrechtlich akkreditierten seefahrtbezogenen Studiengangs oder einer seefahrtbezogenen schulischen Ausbildung an einer nach Landesrecht eingerichteten Ausbildungsstätte zu erfolgen.</w:t>
      </w:r>
    </w:p>
    <w:p>
      <w:r>
        <w:t xml:space="preserve">(7) Für die Zwecke dieser Verordnung werden zur Bezeichnung der Befähigungszeugnisse und Befähigungsnachweise im nautischen Schiffsdienst, Seefunkdienst, technischen und elektrotechnischen Schiffsdienst, im Gesamtschiffsbetrieb, Schiffssicherheitsdienst und in der Gefahrenabwehr, im Schiffsdienst für besondere Schiffstypen, ausgenommen dem Schiffsdienst auf Fahrgastschiffen, die in Anlage 1 genannten Abkürzungen verwendet.</w:t>
      </w:r>
    </w:p>
    <w:p>
      <w:r>
        <w:rPr>
          <w:color w:val="555555"/>
          <w:sz w:val="17"/>
        </w:rPr>
        <w:t xml:space="preserve">Zitiervorschlag: § 2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