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See-BV — Seefahrtzeiten und Schiffe</w:t>
      </w:r>
    </w:p>
    <w:p>
      <w:r>
        <w:rPr>
          <w:color w:val="555555"/>
          <w:sz w:val="18"/>
        </w:rPr>
        <w:t xml:space="preserve">Seeleute-Befähigungsverordnung</w:t>
      </w:r>
    </w:p>
    <w:p>
      <w:r>
        <w:rPr>
          <w:color w:val="555555"/>
          <w:sz w:val="18"/>
        </w:rPr>
        <w:t xml:space="preserve">Stand: 10.06.2019 (konsolidierte Textfassung, kein amtliches Inkrafttretensdatum)</w:t>
      </w:r>
    </w:p>
    <w:p>
      <w:r>
        <w:t xml:space="preserve">Seefahrtzeiten müssen geeignet sein, die für die jeweilige Befähigung erforderlichen Kenntnisse, das Verständnis und die Fachkunde zu erwerben und fortlaufend anzuwenden. Sie sind auf Schiffen, die in den Anwendungsbereich des STCW-Übereinkommens nach dessen Artikel III fallen, oder auf Fischereifahrzeugen abzuleisten.</w:t>
      </w:r>
    </w:p>
    <w:p>
      <w:r>
        <w:rPr>
          <w:color w:val="555555"/>
          <w:sz w:val="17"/>
        </w:rPr>
        <w:t xml:space="preserve">Zitiervorschlag: § 18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