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See-BAV — Eignung der Ausbildungsstätten</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Auszubildende dürfen nur eingestellt und ausgebildet werden, wenn</w:t>
      </w:r>
    </w:p>
    <w:p>
      <w:pPr>
        <w:ind w:left="420"/>
      </w:pPr>
      <w:r>
        <w:t xml:space="preserve">1. die Ausbildungsstätte nach § 8 nach Art und Einrichtung für die Berufsausbildung geeignet ist,</w:t>
      </w:r>
    </w:p>
    <w:p>
      <w:pPr>
        <w:ind w:left="420"/>
      </w:pPr>
      <w:r>
        <w:t xml:space="preserve">2. die Zahl der Auszubildenden in einem angemessenen Verhältnis zur Zahl der Ausbildungsplätze oder zur Zahl der beschäftigten Fachkräfte steht, es sei denn, dass anderenfalls die Berufsausbildung nicht gefährdet wird, und</w:t>
      </w:r>
    </w:p>
    <w:p>
      <w:pPr>
        <w:ind w:left="420"/>
      </w:pPr>
      <w:r>
        <w:t xml:space="preserve">3. im Falle der Ausbildung an Bord eines Schiffes, das nicht die Bundesflagge führt, die besondere Anforderung des Absatzes 3 erfüllt wird.</w:t>
      </w:r>
    </w:p>
    <w:p>
      <w:r>
        <w:t xml:space="preserve">(2) Eine Ausbildungsstätte, in der die erforderlichen beruflichen Fertigkeiten, Kenntnisse und Fähigkeiten nicht im vollen Umfang vermittelt werden können, gilt als geeignet, wenn die fehlenden Fertigkeiten, Kenntnisse und Fähigkeiten durch Ausbildungsmaßnahmen außerhalb der Ausbildungsstätte vermittelt werden.</w:t>
      </w:r>
    </w:p>
    <w:p>
      <w:r>
        <w:t xml:space="preserve">(3) Soweit die Ausbildung an Bord eines Schiffes einer anderen Vertragspartei der im Rahmen der Internationalen Seeschifffahrts-Organisation und der Internationalen Arbeitsorganisation angenommenen völkerrechtlichen Vereinbarungen, die allgemein anerkannte internationale Regeln und Normen auf dem Gebiet der Seeschifffahrt enthalten, erfolgt, hat sich der Reeder des Schiffes vor Beginn der Ausbildung gegenüber der zuständigen Stelle zu verpflichten, auf die Ausbildung deutsches Recht anzuwenden und dies im Berufsausbildungsvertrag mit dem Auszubildenden zu vereinbaren.</w:t>
      </w:r>
    </w:p>
    <w:p>
      <w:r>
        <w:t xml:space="preserve">(4) Die zuständige Stelle hat darüber zu wachen, dass die Eignung der Ausbildungsstätte sowie die persönliche und fachliche Eignung nach § 7 vorliegen.</w:t>
      </w:r>
    </w:p>
    <w:p>
      <w:r>
        <w:t xml:space="preserve">(5) Werden Mängel der Eignung festgestellt, so hat die zuständige Stelle den Ausbildenden aufzufordern, innerhalb einer von ihr gesetzten Frist den Mangel zu beheben. Ist der Mangel der Eignung nicht zu beheben oder wird der Mangel nicht innerhalb der gesetzten Frist beseitigt, so hat die zuständige Stelle das Einstellen und Ausbilden zu untersagen.</w:t>
      </w:r>
    </w:p>
    <w:p>
      <w:r>
        <w:t xml:space="preserve">(6) Vor der Untersagung sind die Beteiligten nach Maßgabe des § 28 des Verwaltungsverfahrensgesetzes zu hören.</w:t>
      </w:r>
    </w:p>
    <w:p>
      <w:r>
        <w:rPr>
          <w:color w:val="555555"/>
          <w:sz w:val="17"/>
        </w:rPr>
        <w:t xml:space="preserve">Zitiervorschlag: § 9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