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See-BAV — Inkrafttreten, Außerkrafttreten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15. September 2013 in Kraft.</w:t>
      </w:r>
    </w:p>
    <w:p>
      <w:r>
        <w:t xml:space="preserve">(2) Gleichzeitig tritt die Schiffsmechaniker-Ausbildungsverordnung vom 12. April 1994 (BGBl. I S. 797), die zuletzt durch Artikel 29 Nummer 4 des Gesetzes vom 25. Juli 2013 (BGBl. I S. 2749) geändert worden ist, außer Kraft.</w:t>
      </w:r>
    </w:p>
    <w:p>
      <w:r>
        <w:rPr>
          <w:color w:val="555555"/>
          <w:sz w:val="17"/>
        </w:rPr>
        <w:t xml:space="preserve">Zitiervorschlag: § 31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