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See-BAV — Prüfungsunterlagen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gewährt Prüflingen auf Anfrage Einsicht in die sie betreffenden Prüfungsunterlagen.</w:t>
      </w:r>
    </w:p>
    <w:p>
      <w:r>
        <w:t xml:space="preserve">(2) Die schriftlichen Prüfungsarbeiten sind ein Jahr, die Niederschriften nach § 23 Absatz 5 sind zehn Jahre aufzubewahren. Der Ablauf der vorgenannten Fristen wird durch das Einlegen eines Rechtsmittels gehemmt.</w:t>
      </w:r>
    </w:p>
    <w:p>
      <w:r>
        <w:rPr>
          <w:color w:val="555555"/>
          <w:sz w:val="17"/>
        </w:rPr>
        <w:t xml:space="preserve">Zitiervorschlag: § 28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