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See-BAV — Begriffsbestimmungen</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„STCW-Übereinkommen“ bedeutet das Internationale Übereinkommen von 1978 über Normen für die Ausbildung, die Erteilung von Befähigungszeugnissen und den Wachdienst von Seeleuten (BGBl. 1982 II S. 297, 298) in der jeweils geltenden Fassung.</w:t>
      </w:r>
    </w:p>
    <w:p>
      <w:r>
        <w:t xml:space="preserve">(2) „STCW-Code“ bedeutet die mit Entschließung 2 zur Schlussakte der Konferenz der Mitgliedstaaten der Internationalen Seeschifffahrts-Organisation am 7. Juli 1995 angenommenen Änderungen der Anlage zum Übereinkommen (BGBl. 1997 II S. 1118, Anlageband) in der jeweils geltenden Fassung.</w:t>
      </w:r>
    </w:p>
    <w:p>
      <w:r>
        <w:t xml:space="preserve">(3) „Unterstützungsebene“ bezeichnet die Verantwortungsebene, zu der typischerweise gehört, dass ein Besatzungsmitglied nach Weisung des Kapitäns oder eines Schiffsoffiziers zugewiesene Aufgaben, Pflichten und Verantwortung wahrnimmt.</w:t>
      </w:r>
    </w:p>
    <w:p>
      <w:r>
        <w:rPr>
          <w:color w:val="555555"/>
          <w:sz w:val="17"/>
        </w:rPr>
        <w:t xml:space="preserve">Zitiervorschlag: § 1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