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See-ArbZNV 2013 — Ordnungswidrigkeiten</w:t>
      </w:r>
    </w:p>
    <w:p>
      <w:r>
        <w:rPr>
          <w:color w:val="555555"/>
          <w:sz w:val="18"/>
        </w:rPr>
        <w:t xml:space="preserve">See-Arbeitszeitnachweisverordnung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145 Absatz 1 Nummer 18 des Seearbeitsgesetzes handelt, wer vorsätzlich oder fahrlässig entgegen § 5 Absatz 1 Satz 1 nicht sicherstellt, dass die Übersichten über die Arbeitsorganisation und die Arbeitszeitnachweise mindestens drei Jahre aufbewahrt werden.</w:t>
      </w:r>
    </w:p>
    <w:p>
      <w:r>
        <w:rPr>
          <w:color w:val="555555"/>
          <w:sz w:val="17"/>
        </w:rPr>
        <w:t xml:space="preserve">Zitiervorschlag: § 6 See-ArbZNV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https://recht.nulegal.eu/gesetze/See-ArbZNV%202013/6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See-ArbZNV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