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See-ArbZNV 2013 — Aufbewahrung</w:t>
      </w:r>
    </w:p>
    <w:p>
      <w:r>
        <w:rPr>
          <w:color w:val="555555"/>
          <w:sz w:val="18"/>
        </w:rPr>
        <w:t xml:space="preserve">See-Arbeitszeitnachweisverordnung</w:t>
      </w:r>
    </w:p>
    <w:p>
      <w:r>
        <w:rPr>
          <w:color w:val="555555"/>
          <w:sz w:val="18"/>
        </w:rPr>
        <w:t xml:space="preserve">Stand: 10.06.2019 (konsolidierte Textfassung, kein amtliches Inkrafttretensdatum)</w:t>
      </w:r>
    </w:p>
    <w:p>
      <w:r>
        <w:t xml:space="preserve">(1) Solange das Schiff die Bundesflagge führt, hat der Reeder sicherzustellen, dass</w:t>
      </w:r>
    </w:p>
    <w:p>
      <w:pPr>
        <w:ind w:left="420"/>
      </w:pPr>
      <w:r>
        <w:t xml:space="preserve">1. im Falle einer Änderung der Übersicht über die Arbeitsorganisation die bisherige Fassung ab dem Zeitpunkt der Änderung und</w:t>
      </w:r>
    </w:p>
    <w:p>
      <w:pPr>
        <w:ind w:left="420"/>
      </w:pPr>
      <w:r>
        <w:t xml:space="preserve">2. die Arbeitszeitnachweise für die Besatzungsmitglieder ab dem Zeitpunkt der Unterzeichnung nach § 3 Absatz 3</w:t>
      </w:r>
    </w:p>
    <w:p>
      <w:r>
        <w:t xml:space="preserve">mindestens drei Jahre an Bord des Schiffes aufbewahrt werden. Wird das Schiff vor Ablauf einer Aufbewahrungsfrist außer Dienst gestellt oder wechselt es vorher die Flagge, sind die Übersichten über die Arbeitsorganisation und die Arbeitszeitnachweise bei der Reederei für die verbliebene Verwahrungszeit aufzubewahren. Die Aufbewahrung in digitalisierter oder elektronischer Form ist möglich.</w:t>
      </w:r>
    </w:p>
    <w:p>
      <w:r>
        <w:t xml:space="preserve">(2) Bei Schiffen in der nationalen Fahrt können die Übersichten über die Arbeitsorganisation und die Arbeitszeitnachweise abweichend von Absatz 1 Satz 1 am Sitz der Reederei so aufbewahrt werden, dass die Berufsgenossenschaft für Transport und Verkehrswirtschaft während der üblichen Geschäftszeiten Einsicht nehmen kann.</w:t>
      </w:r>
    </w:p>
    <w:p>
      <w:r>
        <w:rPr>
          <w:color w:val="555555"/>
          <w:sz w:val="17"/>
        </w:rPr>
        <w:t xml:space="preserve">Zitiervorschlag: § 5 See-ArbZNV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https://recht.nulegal.eu/gesetze/See-ArbZNV%202013/5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See-ArbZNV 2013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