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SchwbWV — Bauliche Gestaltung, Ausstattung, Standort</w:t>
      </w:r>
    </w:p>
    <w:p>
      <w:r>
        <w:rPr>
          <w:color w:val="555555"/>
          <w:sz w:val="18"/>
        </w:rPr>
        <w:t xml:space="preserve">Werkstättenverordnung</w:t>
      </w:r>
    </w:p>
    <w:p>
      <w:r>
        <w:rPr>
          <w:color w:val="555555"/>
          <w:sz w:val="18"/>
        </w:rPr>
        <w:t xml:space="preserve">Stand: 10.06.2019 (konsolidierte Textfassung, kein amtliches Inkrafttretensdatum)</w:t>
      </w:r>
    </w:p>
    <w:p>
      <w:r>
        <w:t xml:space="preserve">(1) Die bauliche Gestaltung und die Ausstattung der Werkstatt müssen der Aufgabenstellung der Werkstatt als einer Einrichtung zur Teilhabe behinderter Menschen am Arbeitsleben und zur Eingliederung in das Arbeitsleben und den in § 219 des Neunten Buches Sozialgesetzbuch und im Ersten Abschnitt dieser Verordnung gestellten Anforderungen Rechnung tragen. Die Erfordernisse des Arbeitsschutzes und der Unfallverhütung sowie zur Vermeidung baulicher und technischer Hindernisse sind zu beachten.</w:t>
      </w:r>
    </w:p>
    <w:p>
      <w:r>
        <w:t xml:space="preserve">(2) Bei der Wahl des Standorts ist auf die Einbindung in die regionale Wirtschafts- und Beschäftigungsstruktur Rücksicht zu nehmen.</w:t>
      </w:r>
    </w:p>
    <w:p>
      <w:r>
        <w:t xml:space="preserve">(3) Das Einzugsgebiet muß so bemessen sein, daß die Werkstatt für die behinderten Menschen mit öffentlichen oder sonstigen Verkehrsmitteln in zumutbarer Zeit erreichbar ist.</w:t>
      </w:r>
    </w:p>
    <w:p>
      <w:r>
        <w:t xml:space="preserve">(4) Die Werkstatt hat im Benehmen mit den zuständigen Rehabilitationsträgern, soweit erforderlich, einen Fahrdienst zu organisieren.</w:t>
      </w:r>
    </w:p>
    <w:p>
      <w:r>
        <w:rPr>
          <w:color w:val="555555"/>
          <w:sz w:val="17"/>
        </w:rPr>
        <w:t xml:space="preserve">Zitiervorschlag: § 8 SchwbWV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https://recht.nulegal.eu/gesetze/SchwbWV/8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