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SchwbWV — Beschäftigungszeit</w:t>
      </w:r>
    </w:p>
    <w:p>
      <w:r>
        <w:rPr>
          <w:color w:val="555555"/>
          <w:sz w:val="18"/>
        </w:rPr>
        <w:t xml:space="preserve">Werkstättenverordnung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Werkstatt hat sicherzustellen, daß die behinderten Menschen im Berufsbildungs- und Arbeitsbereich wenigstens 35 und höchstens 40 Stunden wöchentlich beschäftigt werden können. Die Stundenzahlen umfassen Erholungspausen und Zeiten der Teilnahme an Maßnahmen im Sinne des § 5 Abs. 3.</w:t>
      </w:r>
    </w:p>
    <w:p>
      <w:r>
        <w:t xml:space="preserve">(2) Einzelnen behinderten Menschen ist eine kürzere Beschäftigungszeit zu ermöglichen, wenn es wegen Art oder Schwere der Behinderung oder zur Erfüllung des Erziehungsauftrages notwendig erscheint.</w:t>
      </w:r>
    </w:p>
    <w:p>
      <w:r>
        <w:rPr>
          <w:color w:val="555555"/>
          <w:sz w:val="17"/>
        </w:rPr>
        <w:t xml:space="preserve">Zitiervorschlag: § 6 SchwbWV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SchwbWV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