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SchwbWV — Eingangsverfahren</w:t>
      </w:r>
    </w:p>
    <w:p>
      <w:r>
        <w:rPr>
          <w:color w:val="555555"/>
          <w:sz w:val="18"/>
        </w:rPr>
        <w:t xml:space="preserve">Werkstättenverordnung</w:t>
      </w:r>
    </w:p>
    <w:p>
      <w:r>
        <w:rPr>
          <w:color w:val="555555"/>
          <w:sz w:val="18"/>
        </w:rPr>
        <w:t xml:space="preserve">Stand: 10.06.2019 (konsolidierte Textfassung, kein amtliches Inkrafttretensdatum)</w:t>
      </w:r>
    </w:p>
    <w:p>
      <w:r>
        <w:t xml:space="preserve">(1) Die Werkstatt führt im Benehmen mit dem zuständigen Rehabilitationsträger Eingangsverfahren durch. Aufgabe des Eingangsverfahrens ist es festzustellen, ob die Werkstatt die geeignete Einrichtung zur Teilhabe behinderter Menschen am Arbeitsleben und zur Eingliederung in das Arbeitsleben im Sinne des § 219 des Neunten Buches Sozialgesetzbuch ist, sowie welche Bereiche der Werkstatt und welche Leistungen zur Teilhabe am Arbeitsleben und ergänzende Leistungen oder Leistungen zur Eingliederung in das Arbeitsleben in Betracht kommen und einen Eingliederungsplan zu erstellen.</w:t>
      </w:r>
    </w:p>
    <w:p>
      <w:r>
        <w:t xml:space="preserve">(2) Das Eingangsverfahren dauert drei Monate. Es kann auf eine Dauer von bis zu vier Wochen verkürzt werden, wenn während des Eingangsverfahrens im Einzelfall festgestellt wird, dass eine kürzere Dauer ausreichend ist.</w:t>
      </w:r>
    </w:p>
    <w:p>
      <w:r>
        <w:t xml:space="preserve">(3) Zum Abschluß des Eingangsverfahrens gibt der Fachausschuß auf Vorschlag des Trägers der Werkstatt und nach Anhörung des behinderten Menschen, gegebenenfalls auch seines gesetzlichen Vertreters, unter Würdigung aller Umstände des Einzelfalles, insbesondere der Persönlichkeit des behinderten Menschen und seines Verhaltens während des Eingangsverfahrens, eine Stellungnahme gemäß Absatz 1 gegenüber dem zuständigen Rehabilitationsträger ab.</w:t>
      </w:r>
    </w:p>
    <w:p>
      <w:r>
        <w:t xml:space="preserve">(4) Kommt der Fachausschuß zu dem Ergebnis, daß die Werkstatt für behinderte Menschen nicht geeignet ist, soll er zugleich eine Empfehlung aussprechen, welche andere Einrichtung oder sonstige Maßnahmen und welche anderen Leistungen zur Teilhabe für den behinderten Menschen in Betracht kommen. Er soll sich auch dazu äußern, nach welcher Zeit eine Wiederholung des Eingangsverfahrens zweckmäßig ist und welche Maßnahmen und welche anderen Leistungen zur Teilhabe in der Zwischenzeit durchgeführt werden sollen.</w:t>
      </w:r>
    </w:p>
    <w:p>
      <w:r>
        <w:rPr>
          <w:color w:val="555555"/>
          <w:sz w:val="17"/>
        </w:rPr>
        <w:t xml:space="preserve">Zitiervorschlag: § 3 SchwbWV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https://recht.nulegal.eu/gesetze/SchwbWV/3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